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916" w:rsidRDefault="00B61453" w:rsidP="004B2916">
      <w:pPr>
        <w:autoSpaceDE w:val="0"/>
        <w:spacing w:before="240" w:after="0" w:line="240" w:lineRule="auto"/>
        <w:jc w:val="center"/>
        <w:rPr>
          <w:rFonts w:ascii="Century Gothic" w:hAnsi="Century Gothic" w:cs="Arial"/>
          <w:sz w:val="20"/>
          <w:szCs w:val="20"/>
        </w:rPr>
      </w:pPr>
      <w:r w:rsidRPr="004B2916">
        <w:rPr>
          <w:rFonts w:ascii="Century Gothic" w:hAnsi="Century Gothic" w:cs="Arial"/>
          <w:noProof/>
          <w:sz w:val="20"/>
          <w:szCs w:val="20"/>
          <w:lang w:eastAsia="es-ES"/>
        </w:rPr>
        <w:drawing>
          <wp:inline distT="0" distB="0" distL="0" distR="0">
            <wp:extent cx="6316345" cy="90766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6345" cy="9076690"/>
                    </a:xfrm>
                    <a:prstGeom prst="rect">
                      <a:avLst/>
                    </a:prstGeom>
                    <a:noFill/>
                    <a:ln>
                      <a:noFill/>
                    </a:ln>
                  </pic:spPr>
                </pic:pic>
              </a:graphicData>
            </a:graphic>
          </wp:inline>
        </w:drawing>
      </w:r>
    </w:p>
    <w:p w:rsidR="004B2916" w:rsidRDefault="004B2916" w:rsidP="00D22CE3">
      <w:pPr>
        <w:tabs>
          <w:tab w:val="left" w:pos="5898"/>
          <w:tab w:val="left" w:pos="6717"/>
        </w:tabs>
        <w:rPr>
          <w:rFonts w:ascii="ArialNarrow" w:hAnsi="ArialNarrow" w:cs="ArialNarrow"/>
          <w:sz w:val="24"/>
          <w:szCs w:val="24"/>
        </w:rPr>
      </w:pPr>
    </w:p>
    <w:p w:rsidR="00DD7D70" w:rsidRPr="00A630F7" w:rsidRDefault="00DD7D70">
      <w:pPr>
        <w:autoSpaceDE w:val="0"/>
        <w:spacing w:after="0" w:line="360" w:lineRule="auto"/>
        <w:rPr>
          <w:rFonts w:ascii="Arial" w:eastAsia="CenturyGothic" w:hAnsi="Arial" w:cs="Arial"/>
          <w:color w:val="2E74B5" w:themeColor="accent1" w:themeShade="BF"/>
          <w:sz w:val="28"/>
          <w:szCs w:val="24"/>
        </w:rPr>
      </w:pPr>
      <w:r w:rsidRPr="00A630F7">
        <w:rPr>
          <w:rFonts w:ascii="Arial" w:eastAsia="CenturyGothic" w:hAnsi="Arial" w:cs="Arial"/>
          <w:b/>
          <w:bCs/>
          <w:color w:val="2E74B5" w:themeColor="accent1" w:themeShade="BF"/>
          <w:sz w:val="28"/>
          <w:szCs w:val="24"/>
        </w:rPr>
        <w:t>Índice</w:t>
      </w:r>
    </w:p>
    <w:p w:rsidR="00DD7D70" w:rsidRPr="00F4741F" w:rsidRDefault="00DD7D70">
      <w:pPr>
        <w:autoSpaceDE w:val="0"/>
        <w:spacing w:after="0" w:line="360" w:lineRule="auto"/>
        <w:rPr>
          <w:rFonts w:ascii="Arial" w:eastAsia="CenturyGothic" w:hAnsi="Arial" w:cs="Arial"/>
          <w:color w:val="00B050"/>
          <w:sz w:val="24"/>
          <w:szCs w:val="24"/>
        </w:rPr>
      </w:pPr>
    </w:p>
    <w:p w:rsidR="00DD7D70"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bCs/>
          <w:sz w:val="24"/>
          <w:szCs w:val="24"/>
        </w:rPr>
        <w:t>1. Campaña de vacunación antigripal 2018</w:t>
      </w:r>
    </w:p>
    <w:p w:rsidR="00DD7D70"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1.1. I</w:t>
      </w:r>
      <w:r w:rsidR="00E261FA" w:rsidRPr="00A630F7">
        <w:rPr>
          <w:rFonts w:ascii="Century Gothic" w:eastAsia="CenturyGothic" w:hAnsi="Century Gothic" w:cs="Arial"/>
          <w:sz w:val="24"/>
          <w:szCs w:val="24"/>
        </w:rPr>
        <w:t>nformación general</w:t>
      </w:r>
      <w:r w:rsidR="00F4741F" w:rsidRPr="00A630F7">
        <w:rPr>
          <w:rFonts w:ascii="Century Gothic" w:eastAsia="CenturyGothic" w:hAnsi="Century Gothic" w:cs="Arial"/>
          <w:sz w:val="24"/>
          <w:szCs w:val="24"/>
        </w:rPr>
        <w:t xml:space="preserve"> …………………………………………………………</w:t>
      </w:r>
      <w:r w:rsidR="00A630F7">
        <w:rPr>
          <w:rFonts w:ascii="Century Gothic" w:eastAsia="CenturyGothic" w:hAnsi="Century Gothic" w:cs="Arial"/>
          <w:sz w:val="24"/>
          <w:szCs w:val="24"/>
        </w:rPr>
        <w:t>…</w:t>
      </w:r>
      <w:r w:rsidR="00F4741F" w:rsidRPr="00A630F7">
        <w:rPr>
          <w:rFonts w:ascii="Century Gothic" w:eastAsia="CenturyGothic" w:hAnsi="Century Gothic" w:cs="Arial"/>
          <w:sz w:val="24"/>
          <w:szCs w:val="24"/>
        </w:rPr>
        <w:t>………</w:t>
      </w:r>
      <w:r w:rsidR="00E261FA" w:rsidRPr="00A630F7">
        <w:rPr>
          <w:rFonts w:ascii="Century Gothic" w:eastAsia="CenturyGothic" w:hAnsi="Century Gothic" w:cs="Arial"/>
          <w:sz w:val="24"/>
          <w:szCs w:val="24"/>
        </w:rPr>
        <w:t>3</w:t>
      </w:r>
    </w:p>
    <w:p w:rsidR="00DD7D70" w:rsidRPr="00A630F7" w:rsidRDefault="00301A41"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1.2.</w:t>
      </w:r>
      <w:r w:rsidR="00E261FA" w:rsidRPr="00A630F7">
        <w:rPr>
          <w:rFonts w:ascii="Century Gothic" w:eastAsia="CenturyGothic" w:hAnsi="Century Gothic" w:cs="Arial"/>
          <w:sz w:val="24"/>
          <w:szCs w:val="24"/>
        </w:rPr>
        <w:t xml:space="preserve"> </w:t>
      </w:r>
      <w:r w:rsidRPr="00A630F7">
        <w:rPr>
          <w:rFonts w:ascii="Century Gothic" w:eastAsia="CenturyGothic" w:hAnsi="Century Gothic" w:cs="Arial"/>
          <w:sz w:val="24"/>
          <w:szCs w:val="24"/>
        </w:rPr>
        <w:t xml:space="preserve">Programa </w:t>
      </w:r>
      <w:r w:rsidR="00DD7D70" w:rsidRPr="00A630F7">
        <w:rPr>
          <w:rFonts w:ascii="Century Gothic" w:eastAsia="CenturyGothic" w:hAnsi="Century Gothic" w:cs="Arial"/>
          <w:sz w:val="24"/>
          <w:szCs w:val="24"/>
        </w:rPr>
        <w:t>oficial de vacuna</w:t>
      </w:r>
      <w:r w:rsidR="00E261FA" w:rsidRPr="00A630F7">
        <w:rPr>
          <w:rFonts w:ascii="Century Gothic" w:eastAsia="CenturyGothic" w:hAnsi="Century Gothic" w:cs="Arial"/>
          <w:sz w:val="24"/>
          <w:szCs w:val="24"/>
        </w:rPr>
        <w:t>ciones de Cantabria………………</w:t>
      </w:r>
      <w:r w:rsidR="00F4741F" w:rsidRPr="00A630F7">
        <w:rPr>
          <w:rFonts w:ascii="Century Gothic" w:eastAsia="CenturyGothic" w:hAnsi="Century Gothic" w:cs="Arial"/>
          <w:sz w:val="24"/>
          <w:szCs w:val="24"/>
        </w:rPr>
        <w:t>.</w:t>
      </w:r>
      <w:r w:rsidR="00E261FA" w:rsidRPr="00A630F7">
        <w:rPr>
          <w:rFonts w:ascii="Century Gothic" w:eastAsia="CenturyGothic" w:hAnsi="Century Gothic" w:cs="Arial"/>
          <w:sz w:val="24"/>
          <w:szCs w:val="24"/>
        </w:rPr>
        <w:t>…………</w:t>
      </w:r>
      <w:r w:rsidR="00A630F7">
        <w:rPr>
          <w:rFonts w:ascii="Century Gothic" w:eastAsia="CenturyGothic" w:hAnsi="Century Gothic" w:cs="Arial"/>
          <w:sz w:val="24"/>
          <w:szCs w:val="24"/>
        </w:rPr>
        <w:t>…</w:t>
      </w:r>
      <w:r w:rsidR="00E261FA" w:rsidRPr="00A630F7">
        <w:rPr>
          <w:rFonts w:ascii="Century Gothic" w:eastAsia="CenturyGothic" w:hAnsi="Century Gothic" w:cs="Arial"/>
          <w:sz w:val="24"/>
          <w:szCs w:val="24"/>
        </w:rPr>
        <w:t>… 4</w:t>
      </w:r>
    </w:p>
    <w:p w:rsidR="00E261FA"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 xml:space="preserve">1.3. </w:t>
      </w:r>
      <w:r w:rsidR="00E261FA" w:rsidRPr="00A630F7">
        <w:rPr>
          <w:rFonts w:ascii="Century Gothic" w:eastAsia="CenturyGothic" w:hAnsi="Century Gothic" w:cs="Arial"/>
          <w:sz w:val="24"/>
          <w:szCs w:val="24"/>
        </w:rPr>
        <w:t>Composición ……</w:t>
      </w:r>
      <w:r w:rsidR="00F4741F" w:rsidRPr="00A630F7">
        <w:rPr>
          <w:rFonts w:ascii="Century Gothic" w:eastAsia="CenturyGothic" w:hAnsi="Century Gothic" w:cs="Arial"/>
          <w:sz w:val="24"/>
          <w:szCs w:val="24"/>
        </w:rPr>
        <w:t>…………………………………………………………</w:t>
      </w:r>
      <w:r w:rsidR="00E261FA" w:rsidRPr="00A630F7">
        <w:rPr>
          <w:rFonts w:ascii="Century Gothic" w:eastAsia="CenturyGothic" w:hAnsi="Century Gothic" w:cs="Arial"/>
          <w:sz w:val="24"/>
          <w:szCs w:val="24"/>
        </w:rPr>
        <w:t>………</w:t>
      </w:r>
      <w:r w:rsidR="00A630F7">
        <w:rPr>
          <w:rFonts w:ascii="Century Gothic" w:eastAsia="CenturyGothic" w:hAnsi="Century Gothic" w:cs="Arial"/>
          <w:sz w:val="24"/>
          <w:szCs w:val="24"/>
        </w:rPr>
        <w:t>……</w:t>
      </w:r>
      <w:r w:rsidR="00E261FA" w:rsidRPr="00A630F7">
        <w:rPr>
          <w:rFonts w:ascii="Century Gothic" w:eastAsia="CenturyGothic" w:hAnsi="Century Gothic" w:cs="Arial"/>
          <w:sz w:val="24"/>
          <w:szCs w:val="24"/>
        </w:rPr>
        <w:t>..4</w:t>
      </w:r>
    </w:p>
    <w:p w:rsidR="00DD7D70"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1.4. Población diana</w:t>
      </w:r>
      <w:r w:rsidR="00F4741F" w:rsidRPr="00A630F7">
        <w:rPr>
          <w:rFonts w:ascii="Century Gothic" w:eastAsia="CenturyGothic" w:hAnsi="Century Gothic" w:cs="Arial"/>
          <w:sz w:val="24"/>
          <w:szCs w:val="24"/>
        </w:rPr>
        <w:t xml:space="preserve"> …</w:t>
      </w:r>
      <w:r w:rsidRPr="00A630F7">
        <w:rPr>
          <w:rFonts w:ascii="Century Gothic" w:eastAsia="CenturyGothic" w:hAnsi="Century Gothic" w:cs="Arial"/>
          <w:sz w:val="24"/>
          <w:szCs w:val="24"/>
        </w:rPr>
        <w:t>………………………………………………</w:t>
      </w:r>
      <w:r w:rsidR="00F4741F" w:rsidRPr="00A630F7">
        <w:rPr>
          <w:rFonts w:ascii="Century Gothic" w:eastAsia="CenturyGothic" w:hAnsi="Century Gothic" w:cs="Arial"/>
          <w:sz w:val="24"/>
          <w:szCs w:val="24"/>
        </w:rPr>
        <w:t>…..</w:t>
      </w:r>
      <w:r w:rsidRPr="00A630F7">
        <w:rPr>
          <w:rFonts w:ascii="Century Gothic" w:eastAsia="CenturyGothic" w:hAnsi="Century Gothic" w:cs="Arial"/>
          <w:sz w:val="24"/>
          <w:szCs w:val="24"/>
        </w:rPr>
        <w:t>………….…</w:t>
      </w:r>
      <w:r w:rsidR="00A630F7">
        <w:rPr>
          <w:rFonts w:ascii="Century Gothic" w:eastAsia="CenturyGothic" w:hAnsi="Century Gothic" w:cs="Arial"/>
          <w:sz w:val="24"/>
          <w:szCs w:val="24"/>
        </w:rPr>
        <w:t>…</w:t>
      </w:r>
      <w:r w:rsidRPr="00A630F7">
        <w:rPr>
          <w:rFonts w:ascii="Century Gothic" w:eastAsia="CenturyGothic" w:hAnsi="Century Gothic" w:cs="Arial"/>
          <w:sz w:val="24"/>
          <w:szCs w:val="24"/>
        </w:rPr>
        <w:t xml:space="preserve">… </w:t>
      </w:r>
      <w:r w:rsidR="00E261FA" w:rsidRPr="00A630F7">
        <w:rPr>
          <w:rFonts w:ascii="Century Gothic" w:eastAsia="CenturyGothic" w:hAnsi="Century Gothic" w:cs="Arial"/>
          <w:sz w:val="24"/>
          <w:szCs w:val="24"/>
        </w:rPr>
        <w:t>5</w:t>
      </w:r>
    </w:p>
    <w:p w:rsidR="00E261FA"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 xml:space="preserve">1.5. </w:t>
      </w:r>
      <w:r w:rsidR="00E261FA" w:rsidRPr="00A630F7">
        <w:rPr>
          <w:rFonts w:ascii="Century Gothic" w:eastAsia="CenturyGothic" w:hAnsi="Century Gothic" w:cs="Arial"/>
          <w:sz w:val="24"/>
          <w:szCs w:val="24"/>
        </w:rPr>
        <w:t xml:space="preserve">Indicaciones específicas </w:t>
      </w:r>
      <w:r w:rsidR="00F4741F" w:rsidRPr="00A630F7">
        <w:rPr>
          <w:rFonts w:ascii="Century Gothic" w:eastAsia="CenturyGothic" w:hAnsi="Century Gothic" w:cs="Arial"/>
          <w:sz w:val="24"/>
          <w:szCs w:val="24"/>
        </w:rPr>
        <w:t>………………………………………………..</w:t>
      </w:r>
      <w:r w:rsidR="00E261FA" w:rsidRPr="00A630F7">
        <w:rPr>
          <w:rFonts w:ascii="Century Gothic" w:eastAsia="CenturyGothic" w:hAnsi="Century Gothic" w:cs="Arial"/>
          <w:sz w:val="24"/>
          <w:szCs w:val="24"/>
        </w:rPr>
        <w:t>……</w:t>
      </w:r>
      <w:r w:rsidR="00A630F7">
        <w:rPr>
          <w:rFonts w:ascii="Century Gothic" w:eastAsia="CenturyGothic" w:hAnsi="Century Gothic" w:cs="Arial"/>
          <w:sz w:val="24"/>
          <w:szCs w:val="24"/>
        </w:rPr>
        <w:t>….</w:t>
      </w:r>
      <w:r w:rsidR="00E261FA" w:rsidRPr="00A630F7">
        <w:rPr>
          <w:rFonts w:ascii="Century Gothic" w:eastAsia="CenturyGothic" w:hAnsi="Century Gothic" w:cs="Arial"/>
          <w:sz w:val="24"/>
          <w:szCs w:val="24"/>
        </w:rPr>
        <w:t>……..6</w:t>
      </w:r>
      <w:r w:rsidR="00F4741F" w:rsidRPr="00A630F7">
        <w:rPr>
          <w:rFonts w:ascii="Century Gothic" w:eastAsia="CenturyGothic" w:hAnsi="Century Gothic" w:cs="Arial"/>
          <w:sz w:val="24"/>
          <w:szCs w:val="24"/>
        </w:rPr>
        <w:t>.</w:t>
      </w:r>
    </w:p>
    <w:p w:rsidR="00C31BEF" w:rsidRPr="00A630F7" w:rsidRDefault="00C31BEF" w:rsidP="00F4741F">
      <w:pPr>
        <w:spacing w:after="0" w:line="240" w:lineRule="atLeast"/>
        <w:ind w:right="862" w:firstLine="709"/>
        <w:jc w:val="both"/>
        <w:rPr>
          <w:rFonts w:ascii="Century Gothic" w:hAnsi="Century Gothic"/>
          <w:sz w:val="24"/>
          <w:szCs w:val="24"/>
        </w:rPr>
      </w:pPr>
      <w:r w:rsidRPr="00A630F7">
        <w:rPr>
          <w:rFonts w:ascii="Century Gothic" w:hAnsi="Century Gothic"/>
          <w:sz w:val="24"/>
          <w:szCs w:val="24"/>
        </w:rPr>
        <w:t>1.5.1.-Vacunación entre 6 meses-15 años</w:t>
      </w:r>
    </w:p>
    <w:p w:rsidR="00C31BEF" w:rsidRPr="00A630F7" w:rsidRDefault="00C31BEF" w:rsidP="00F4741F">
      <w:pPr>
        <w:pStyle w:val="Cita"/>
        <w:spacing w:before="0" w:after="0" w:line="240" w:lineRule="atLeast"/>
        <w:ind w:left="0" w:right="862" w:firstLine="709"/>
        <w:jc w:val="both"/>
        <w:rPr>
          <w:rStyle w:val="nfasis"/>
          <w:rFonts w:ascii="Century Gothic" w:hAnsi="Century Gothic"/>
          <w:color w:val="auto"/>
          <w:sz w:val="24"/>
          <w:szCs w:val="24"/>
        </w:rPr>
      </w:pPr>
      <w:r w:rsidRPr="00A630F7">
        <w:rPr>
          <w:rStyle w:val="nfasis"/>
          <w:rFonts w:ascii="Century Gothic" w:hAnsi="Century Gothic"/>
          <w:color w:val="auto"/>
          <w:sz w:val="24"/>
          <w:szCs w:val="24"/>
        </w:rPr>
        <w:t xml:space="preserve">1.5.2.- Vacunación en personas &gt; 15 años </w:t>
      </w:r>
    </w:p>
    <w:p w:rsidR="00C31BEF" w:rsidRPr="00A630F7" w:rsidRDefault="00C31BEF" w:rsidP="00F4741F">
      <w:pPr>
        <w:pStyle w:val="Cita"/>
        <w:spacing w:before="0" w:after="0" w:line="240" w:lineRule="atLeast"/>
        <w:ind w:left="0" w:right="862" w:firstLine="709"/>
        <w:jc w:val="both"/>
        <w:rPr>
          <w:rStyle w:val="nfasis"/>
          <w:rFonts w:ascii="Century Gothic" w:hAnsi="Century Gothic"/>
          <w:color w:val="auto"/>
          <w:sz w:val="24"/>
          <w:szCs w:val="24"/>
        </w:rPr>
      </w:pPr>
      <w:r w:rsidRPr="00A630F7">
        <w:rPr>
          <w:rStyle w:val="nfasis"/>
          <w:rFonts w:ascii="Century Gothic" w:hAnsi="Century Gothic"/>
          <w:color w:val="auto"/>
          <w:sz w:val="24"/>
          <w:szCs w:val="24"/>
        </w:rPr>
        <w:t>1.5.3.-Vacunación en personas institucionalizadas</w:t>
      </w:r>
    </w:p>
    <w:p w:rsidR="00CA5A64" w:rsidRPr="00A630F7" w:rsidRDefault="00CA5A64"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 xml:space="preserve">1.6. Contraindicaciones </w:t>
      </w:r>
      <w:r w:rsidR="00F4741F" w:rsidRPr="00A630F7">
        <w:rPr>
          <w:rFonts w:ascii="Century Gothic" w:eastAsia="CenturyGothic" w:hAnsi="Century Gothic" w:cs="Arial"/>
          <w:sz w:val="24"/>
          <w:szCs w:val="24"/>
        </w:rPr>
        <w:t>………………………………………………………</w:t>
      </w:r>
      <w:r w:rsidR="00A630F7">
        <w:rPr>
          <w:rFonts w:ascii="Century Gothic" w:eastAsia="CenturyGothic" w:hAnsi="Century Gothic" w:cs="Arial"/>
          <w:sz w:val="24"/>
          <w:szCs w:val="24"/>
        </w:rPr>
        <w:t>…..</w:t>
      </w:r>
      <w:r w:rsidR="00F4741F" w:rsidRPr="00A630F7">
        <w:rPr>
          <w:rFonts w:ascii="Century Gothic" w:eastAsia="CenturyGothic" w:hAnsi="Century Gothic" w:cs="Arial"/>
          <w:sz w:val="24"/>
          <w:szCs w:val="24"/>
        </w:rPr>
        <w:t>………….</w:t>
      </w:r>
      <w:r w:rsidR="00A630F7" w:rsidRPr="00A630F7">
        <w:rPr>
          <w:rFonts w:ascii="Century Gothic" w:eastAsia="CenturyGothic" w:hAnsi="Century Gothic" w:cs="Arial"/>
          <w:sz w:val="24"/>
          <w:szCs w:val="24"/>
        </w:rPr>
        <w:t>8</w:t>
      </w:r>
    </w:p>
    <w:p w:rsidR="00CA5A64" w:rsidRPr="00A630F7" w:rsidRDefault="00CA5A64" w:rsidP="00F4741F">
      <w:pPr>
        <w:autoSpaceDE w:val="0"/>
        <w:spacing w:after="0" w:line="240" w:lineRule="auto"/>
        <w:jc w:val="both"/>
        <w:rPr>
          <w:rFonts w:ascii="Century Gothic" w:eastAsia="CenturyGothic" w:hAnsi="Century Gothic" w:cs="CenturyGothic"/>
          <w:sz w:val="24"/>
          <w:szCs w:val="24"/>
        </w:rPr>
      </w:pPr>
      <w:r w:rsidRPr="00A630F7">
        <w:rPr>
          <w:rFonts w:ascii="Century Gothic" w:eastAsia="CenturyGothic" w:hAnsi="Century Gothic" w:cs="Arial"/>
          <w:bCs/>
          <w:sz w:val="24"/>
          <w:szCs w:val="24"/>
        </w:rPr>
        <w:t xml:space="preserve">1.7 </w:t>
      </w:r>
      <w:r w:rsidRPr="00A630F7">
        <w:rPr>
          <w:rFonts w:ascii="Century Gothic" w:eastAsia="CenturyGothic" w:hAnsi="Century Gothic" w:cs="CenturyGothic"/>
          <w:sz w:val="24"/>
          <w:szCs w:val="24"/>
        </w:rPr>
        <w:t>Efectos secundarios de la vacunación</w:t>
      </w:r>
      <w:r w:rsidRPr="00A630F7">
        <w:rPr>
          <w:rFonts w:ascii="Century Gothic" w:eastAsia="CenturyGothic" w:hAnsi="Century Gothic" w:cs="CenturyGothic"/>
          <w:sz w:val="24"/>
          <w:szCs w:val="24"/>
        </w:rPr>
        <w:t xml:space="preserve"> </w:t>
      </w:r>
      <w:r w:rsidR="00A630F7">
        <w:rPr>
          <w:rFonts w:ascii="Century Gothic" w:eastAsia="CenturyGothic" w:hAnsi="Century Gothic" w:cs="CenturyGothic"/>
          <w:sz w:val="24"/>
          <w:szCs w:val="24"/>
        </w:rPr>
        <w:t>……………………………………..………..</w:t>
      </w:r>
      <w:r w:rsidRPr="00A630F7">
        <w:rPr>
          <w:rFonts w:ascii="Century Gothic" w:eastAsia="CenturyGothic" w:hAnsi="Century Gothic" w:cs="CenturyGothic"/>
          <w:sz w:val="24"/>
          <w:szCs w:val="24"/>
        </w:rPr>
        <w:t>8</w:t>
      </w:r>
    </w:p>
    <w:p w:rsidR="00CA5A64" w:rsidRPr="00A630F7" w:rsidRDefault="00CA5A64" w:rsidP="00F4741F">
      <w:pPr>
        <w:autoSpaceDE w:val="0"/>
        <w:spacing w:after="0" w:line="240" w:lineRule="auto"/>
        <w:jc w:val="both"/>
        <w:rPr>
          <w:rFonts w:ascii="Century Gothic" w:eastAsia="CenturyGothic" w:hAnsi="Century Gothic" w:cs="CenturyGothic"/>
          <w:bCs/>
          <w:sz w:val="24"/>
          <w:szCs w:val="24"/>
        </w:rPr>
      </w:pPr>
      <w:r w:rsidRPr="00A630F7">
        <w:rPr>
          <w:rFonts w:ascii="Century Gothic" w:eastAsia="CenturyGothic" w:hAnsi="Century Gothic" w:cs="Arial"/>
          <w:bCs/>
          <w:sz w:val="24"/>
          <w:szCs w:val="24"/>
        </w:rPr>
        <w:t xml:space="preserve">1.8 Registro y notificación </w:t>
      </w:r>
      <w:r w:rsidR="00A630F7">
        <w:rPr>
          <w:rFonts w:ascii="Century Gothic" w:eastAsia="CenturyGothic" w:hAnsi="Century Gothic" w:cs="Arial"/>
          <w:bCs/>
          <w:sz w:val="24"/>
          <w:szCs w:val="24"/>
        </w:rPr>
        <w:t xml:space="preserve">………………………………………………………………..…. </w:t>
      </w:r>
      <w:r w:rsidRPr="00A630F7">
        <w:rPr>
          <w:rFonts w:ascii="Century Gothic" w:eastAsia="CenturyGothic" w:hAnsi="Century Gothic" w:cs="Arial"/>
          <w:bCs/>
          <w:sz w:val="24"/>
          <w:szCs w:val="24"/>
        </w:rPr>
        <w:t>8</w:t>
      </w:r>
    </w:p>
    <w:p w:rsidR="00CA5A64" w:rsidRPr="00A630F7" w:rsidRDefault="00CA5A64" w:rsidP="00F4741F">
      <w:pPr>
        <w:autoSpaceDE w:val="0"/>
        <w:spacing w:after="0" w:line="240" w:lineRule="auto"/>
        <w:jc w:val="both"/>
        <w:rPr>
          <w:rFonts w:ascii="Century Gothic" w:eastAsia="CenturyGothic" w:hAnsi="Century Gothic" w:cs="Arial"/>
          <w:bCs/>
          <w:sz w:val="24"/>
          <w:szCs w:val="24"/>
        </w:rPr>
      </w:pPr>
      <w:r w:rsidRPr="00A630F7">
        <w:rPr>
          <w:rFonts w:ascii="Century Gothic" w:eastAsia="CenturyGothic" w:hAnsi="Century Gothic" w:cs="Arial"/>
          <w:bCs/>
          <w:sz w:val="24"/>
          <w:szCs w:val="24"/>
        </w:rPr>
        <w:t>1.9 Organización en Centros de Salud</w:t>
      </w:r>
      <w:r w:rsidRPr="00A630F7">
        <w:rPr>
          <w:rFonts w:ascii="Century Gothic" w:eastAsia="CenturyGothic" w:hAnsi="Century Gothic" w:cs="Arial"/>
          <w:bCs/>
          <w:sz w:val="24"/>
          <w:szCs w:val="24"/>
        </w:rPr>
        <w:t xml:space="preserve"> </w:t>
      </w:r>
      <w:r w:rsidR="00A630F7">
        <w:rPr>
          <w:rFonts w:ascii="Century Gothic" w:eastAsia="CenturyGothic" w:hAnsi="Century Gothic" w:cs="Arial"/>
          <w:bCs/>
          <w:sz w:val="24"/>
          <w:szCs w:val="24"/>
        </w:rPr>
        <w:t xml:space="preserve">………………………………………………..…. </w:t>
      </w:r>
      <w:r w:rsidRPr="00A630F7">
        <w:rPr>
          <w:rFonts w:ascii="Century Gothic" w:eastAsia="CenturyGothic" w:hAnsi="Century Gothic" w:cs="Arial"/>
          <w:bCs/>
          <w:sz w:val="24"/>
          <w:szCs w:val="24"/>
        </w:rPr>
        <w:t>9</w:t>
      </w:r>
    </w:p>
    <w:p w:rsidR="00CA5A64" w:rsidRPr="00A630F7" w:rsidRDefault="00CA5A64" w:rsidP="00F4741F">
      <w:pPr>
        <w:autoSpaceDE w:val="0"/>
        <w:spacing w:after="0" w:line="240" w:lineRule="atLeast"/>
        <w:jc w:val="both"/>
        <w:rPr>
          <w:rFonts w:ascii="Century Gothic" w:eastAsia="CenturyGothic" w:hAnsi="Century Gothic" w:cs="Arial"/>
          <w:bCs/>
          <w:sz w:val="24"/>
          <w:szCs w:val="24"/>
        </w:rPr>
      </w:pPr>
    </w:p>
    <w:p w:rsidR="00DD7D70" w:rsidRPr="00A630F7" w:rsidRDefault="00DD7D70" w:rsidP="00F4741F">
      <w:pPr>
        <w:autoSpaceDE w:val="0"/>
        <w:spacing w:after="0" w:line="240" w:lineRule="atLeast"/>
        <w:jc w:val="both"/>
        <w:rPr>
          <w:rFonts w:ascii="Century Gothic" w:eastAsia="CenturyGothic" w:hAnsi="Century Gothic" w:cs="Arial"/>
          <w:bCs/>
          <w:sz w:val="24"/>
          <w:szCs w:val="24"/>
        </w:rPr>
      </w:pPr>
      <w:r w:rsidRPr="00A630F7">
        <w:rPr>
          <w:rFonts w:ascii="Century Gothic" w:eastAsia="CenturyGothic" w:hAnsi="Century Gothic" w:cs="Arial"/>
          <w:bCs/>
          <w:sz w:val="24"/>
          <w:szCs w:val="24"/>
        </w:rPr>
        <w:t>2. Anexos</w:t>
      </w:r>
    </w:p>
    <w:p w:rsidR="00CA5A64" w:rsidRPr="00A630F7" w:rsidRDefault="00CA5A64" w:rsidP="00F4741F">
      <w:pPr>
        <w:autoSpaceDE w:val="0"/>
        <w:spacing w:after="0" w:line="240" w:lineRule="atLeast"/>
        <w:jc w:val="both"/>
        <w:rPr>
          <w:rFonts w:ascii="Century Gothic" w:eastAsia="CenturyGothic" w:hAnsi="Century Gothic" w:cs="Arial"/>
          <w:bCs/>
          <w:sz w:val="24"/>
          <w:szCs w:val="24"/>
        </w:rPr>
      </w:pPr>
      <w:r w:rsidRPr="00A630F7">
        <w:rPr>
          <w:rFonts w:ascii="Century Gothic" w:eastAsia="CenturyGothic" w:hAnsi="Century Gothic" w:cs="Arial"/>
          <w:bCs/>
          <w:sz w:val="24"/>
          <w:szCs w:val="24"/>
        </w:rPr>
        <w:t>2.1. Instrucción de la Dirección general de Salud P</w:t>
      </w:r>
      <w:r w:rsidR="00A630F7">
        <w:rPr>
          <w:rFonts w:ascii="Century Gothic" w:eastAsia="CenturyGothic" w:hAnsi="Century Gothic" w:cs="Arial"/>
          <w:bCs/>
          <w:sz w:val="24"/>
          <w:szCs w:val="24"/>
        </w:rPr>
        <w:t>ública …………………….……</w:t>
      </w:r>
      <w:r w:rsidRPr="00A630F7">
        <w:rPr>
          <w:rFonts w:ascii="Century Gothic" w:eastAsia="CenturyGothic" w:hAnsi="Century Gothic" w:cs="Arial"/>
          <w:bCs/>
          <w:sz w:val="24"/>
          <w:szCs w:val="24"/>
        </w:rPr>
        <w:t xml:space="preserve"> 13</w:t>
      </w:r>
    </w:p>
    <w:p w:rsidR="00F4741F" w:rsidRPr="00A630F7" w:rsidRDefault="00CA5A64" w:rsidP="00F4741F">
      <w:pPr>
        <w:autoSpaceDE w:val="0"/>
        <w:spacing w:after="0" w:line="240" w:lineRule="atLeast"/>
        <w:jc w:val="both"/>
        <w:rPr>
          <w:rFonts w:ascii="Century Gothic" w:eastAsia="CenturyGothic" w:hAnsi="Century Gothic" w:cs="Arial"/>
          <w:bCs/>
          <w:sz w:val="24"/>
          <w:szCs w:val="24"/>
        </w:rPr>
      </w:pPr>
      <w:r w:rsidRPr="00A630F7">
        <w:rPr>
          <w:rFonts w:ascii="Century Gothic" w:eastAsia="CenturyGothic" w:hAnsi="Century Gothic" w:cs="Arial"/>
          <w:bCs/>
          <w:sz w:val="24"/>
          <w:szCs w:val="24"/>
        </w:rPr>
        <w:t xml:space="preserve">2.2. informe Comisión Nacional de Salud Pública sobre la efectividad </w:t>
      </w:r>
    </w:p>
    <w:p w:rsidR="00CA5A64" w:rsidRPr="00A630F7" w:rsidRDefault="00CA5A64" w:rsidP="00F4741F">
      <w:pPr>
        <w:autoSpaceDE w:val="0"/>
        <w:spacing w:after="0" w:line="240" w:lineRule="atLeast"/>
        <w:jc w:val="both"/>
        <w:rPr>
          <w:rFonts w:ascii="Century Gothic" w:eastAsia="CenturyGothic" w:hAnsi="Century Gothic" w:cs="Arial"/>
          <w:bCs/>
          <w:sz w:val="24"/>
          <w:szCs w:val="24"/>
        </w:rPr>
      </w:pPr>
      <w:r w:rsidRPr="00A630F7">
        <w:rPr>
          <w:rFonts w:ascii="Century Gothic" w:eastAsia="CenturyGothic" w:hAnsi="Century Gothic" w:cs="Arial"/>
          <w:bCs/>
          <w:sz w:val="24"/>
          <w:szCs w:val="24"/>
        </w:rPr>
        <w:t>de la vacunación antigripal ……</w:t>
      </w:r>
      <w:r w:rsidR="00A630F7">
        <w:rPr>
          <w:rFonts w:ascii="Century Gothic" w:eastAsia="CenturyGothic" w:hAnsi="Century Gothic" w:cs="Arial"/>
          <w:bCs/>
          <w:sz w:val="24"/>
          <w:szCs w:val="24"/>
        </w:rPr>
        <w:t>………………………………………………….………</w:t>
      </w:r>
      <w:r w:rsidRPr="00A630F7">
        <w:rPr>
          <w:rFonts w:ascii="Century Gothic" w:eastAsia="CenturyGothic" w:hAnsi="Century Gothic" w:cs="Arial"/>
          <w:bCs/>
          <w:sz w:val="24"/>
          <w:szCs w:val="24"/>
        </w:rPr>
        <w:t>16</w:t>
      </w:r>
    </w:p>
    <w:p w:rsidR="00CA5A64" w:rsidRPr="00A630F7" w:rsidRDefault="00CA5A64" w:rsidP="00F4741F">
      <w:pPr>
        <w:autoSpaceDE w:val="0"/>
        <w:spacing w:after="0" w:line="240" w:lineRule="atLeast"/>
        <w:jc w:val="both"/>
        <w:rPr>
          <w:rFonts w:ascii="Century Gothic" w:eastAsia="CenturyGothic" w:hAnsi="Century Gothic" w:cs="Arial"/>
          <w:bCs/>
          <w:sz w:val="24"/>
          <w:szCs w:val="24"/>
        </w:rPr>
      </w:pPr>
      <w:r w:rsidRPr="00A630F7">
        <w:rPr>
          <w:rFonts w:ascii="Century Gothic" w:eastAsia="CenturyGothic" w:hAnsi="Century Gothic" w:cs="Arial"/>
          <w:bCs/>
          <w:sz w:val="24"/>
          <w:szCs w:val="24"/>
        </w:rPr>
        <w:t>2.</w:t>
      </w:r>
      <w:r w:rsidR="005A3600" w:rsidRPr="00A630F7">
        <w:rPr>
          <w:rFonts w:ascii="Century Gothic" w:eastAsia="CenturyGothic" w:hAnsi="Century Gothic" w:cs="Arial"/>
          <w:bCs/>
          <w:sz w:val="24"/>
          <w:szCs w:val="24"/>
        </w:rPr>
        <w:t>3.</w:t>
      </w:r>
      <w:r w:rsidRPr="00A630F7">
        <w:rPr>
          <w:rFonts w:ascii="Century Gothic" w:eastAsia="CenturyGothic" w:hAnsi="Century Gothic" w:cs="Arial"/>
          <w:bCs/>
          <w:sz w:val="24"/>
          <w:szCs w:val="24"/>
        </w:rPr>
        <w:t xml:space="preserve"> Oseltamivir</w:t>
      </w:r>
      <w:r w:rsidR="00A630F7">
        <w:rPr>
          <w:rFonts w:ascii="Century Gothic" w:eastAsia="CenturyGothic" w:hAnsi="Century Gothic" w:cs="Arial"/>
          <w:bCs/>
          <w:sz w:val="24"/>
          <w:szCs w:val="24"/>
        </w:rPr>
        <w:t xml:space="preserve">…………………………………………………………………………….…. </w:t>
      </w:r>
      <w:r w:rsidRPr="00A630F7">
        <w:rPr>
          <w:rFonts w:ascii="Century Gothic" w:eastAsia="CenturyGothic" w:hAnsi="Century Gothic" w:cs="Arial"/>
          <w:bCs/>
          <w:sz w:val="24"/>
          <w:szCs w:val="24"/>
        </w:rPr>
        <w:t>18</w:t>
      </w:r>
    </w:p>
    <w:p w:rsidR="00DD7D70"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2.</w:t>
      </w:r>
      <w:r w:rsidR="005A3600" w:rsidRPr="00A630F7">
        <w:rPr>
          <w:rFonts w:ascii="Century Gothic" w:eastAsia="CenturyGothic" w:hAnsi="Century Gothic" w:cs="Arial"/>
          <w:sz w:val="24"/>
          <w:szCs w:val="24"/>
        </w:rPr>
        <w:t>4</w:t>
      </w:r>
      <w:r w:rsidRPr="00A630F7">
        <w:rPr>
          <w:rFonts w:ascii="Century Gothic" w:eastAsia="CenturyGothic" w:hAnsi="Century Gothic" w:cs="Arial"/>
          <w:sz w:val="24"/>
          <w:szCs w:val="24"/>
        </w:rPr>
        <w:t>. Puntos de reparto de vacunas …………………………...…………………</w:t>
      </w:r>
      <w:r w:rsidR="00A630F7">
        <w:rPr>
          <w:rFonts w:ascii="Century Gothic" w:eastAsia="CenturyGothic" w:hAnsi="Century Gothic" w:cs="Arial"/>
          <w:sz w:val="24"/>
          <w:szCs w:val="24"/>
        </w:rPr>
        <w:t>………</w:t>
      </w:r>
      <w:r w:rsidRPr="00A630F7">
        <w:rPr>
          <w:rFonts w:ascii="Century Gothic" w:eastAsia="CenturyGothic" w:hAnsi="Century Gothic" w:cs="Arial"/>
          <w:sz w:val="24"/>
          <w:szCs w:val="24"/>
        </w:rPr>
        <w:t xml:space="preserve"> 17</w:t>
      </w:r>
    </w:p>
    <w:p w:rsidR="00DD7D70"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2.</w:t>
      </w:r>
      <w:r w:rsidR="005A3600" w:rsidRPr="00A630F7">
        <w:rPr>
          <w:rFonts w:ascii="Century Gothic" w:eastAsia="CenturyGothic" w:hAnsi="Century Gothic" w:cs="Arial"/>
          <w:sz w:val="24"/>
          <w:szCs w:val="24"/>
        </w:rPr>
        <w:t>5</w:t>
      </w:r>
      <w:r w:rsidRPr="00A630F7">
        <w:rPr>
          <w:rFonts w:ascii="Century Gothic" w:eastAsia="CenturyGothic" w:hAnsi="Century Gothic" w:cs="Arial"/>
          <w:sz w:val="24"/>
          <w:szCs w:val="24"/>
        </w:rPr>
        <w:t>. Puntos de vacunación antigripal ……………………………….……………</w:t>
      </w:r>
      <w:r w:rsidR="00A630F7">
        <w:rPr>
          <w:rFonts w:ascii="Century Gothic" w:eastAsia="CenturyGothic" w:hAnsi="Century Gothic" w:cs="Arial"/>
          <w:sz w:val="24"/>
          <w:szCs w:val="24"/>
        </w:rPr>
        <w:t>……..</w:t>
      </w:r>
      <w:r w:rsidRPr="00A630F7">
        <w:rPr>
          <w:rFonts w:ascii="Century Gothic" w:eastAsia="CenturyGothic" w:hAnsi="Century Gothic" w:cs="Arial"/>
          <w:sz w:val="24"/>
          <w:szCs w:val="24"/>
        </w:rPr>
        <w:t xml:space="preserve"> 17</w:t>
      </w:r>
    </w:p>
    <w:p w:rsidR="00DD7D70" w:rsidRPr="00A630F7" w:rsidRDefault="00DD7D70" w:rsidP="00F4741F">
      <w:pPr>
        <w:autoSpaceDE w:val="0"/>
        <w:spacing w:after="0" w:line="240" w:lineRule="atLeast"/>
        <w:jc w:val="both"/>
        <w:rPr>
          <w:rFonts w:ascii="Century Gothic" w:eastAsia="CenturyGothic" w:hAnsi="Century Gothic" w:cs="Arial"/>
          <w:bCs/>
          <w:sz w:val="24"/>
          <w:szCs w:val="24"/>
        </w:rPr>
      </w:pPr>
      <w:r w:rsidRPr="00A630F7">
        <w:rPr>
          <w:rFonts w:ascii="Century Gothic" w:eastAsia="CenturyGothic" w:hAnsi="Century Gothic" w:cs="Arial"/>
          <w:sz w:val="24"/>
          <w:szCs w:val="24"/>
        </w:rPr>
        <w:t>2.</w:t>
      </w:r>
      <w:r w:rsidR="005A3600" w:rsidRPr="00A630F7">
        <w:rPr>
          <w:rFonts w:ascii="Century Gothic" w:eastAsia="CenturyGothic" w:hAnsi="Century Gothic" w:cs="Arial"/>
          <w:sz w:val="24"/>
          <w:szCs w:val="24"/>
        </w:rPr>
        <w:t>6</w:t>
      </w:r>
      <w:r w:rsidRPr="00A630F7">
        <w:rPr>
          <w:rFonts w:ascii="Century Gothic" w:eastAsia="CenturyGothic" w:hAnsi="Century Gothic" w:cs="Arial"/>
          <w:sz w:val="24"/>
          <w:szCs w:val="24"/>
        </w:rPr>
        <w:t>. Registro de vacunaciones …….………………………………….…………</w:t>
      </w:r>
      <w:r w:rsidR="00A630F7">
        <w:rPr>
          <w:rFonts w:ascii="Century Gothic" w:eastAsia="CenturyGothic" w:hAnsi="Century Gothic" w:cs="Arial"/>
          <w:sz w:val="24"/>
          <w:szCs w:val="24"/>
        </w:rPr>
        <w:t>……….</w:t>
      </w:r>
      <w:r w:rsidRPr="00A630F7">
        <w:rPr>
          <w:rFonts w:ascii="Century Gothic" w:eastAsia="CenturyGothic" w:hAnsi="Century Gothic" w:cs="Arial"/>
          <w:sz w:val="24"/>
          <w:szCs w:val="24"/>
        </w:rPr>
        <w:t>. 26</w:t>
      </w:r>
    </w:p>
    <w:p w:rsidR="00DD7D70" w:rsidRPr="00A630F7" w:rsidRDefault="00DD7D70" w:rsidP="00F4741F">
      <w:pPr>
        <w:autoSpaceDE w:val="0"/>
        <w:spacing w:after="0" w:line="240" w:lineRule="atLeast"/>
        <w:jc w:val="both"/>
        <w:rPr>
          <w:rFonts w:ascii="Century Gothic" w:eastAsia="CenturyGothic" w:hAnsi="Century Gothic" w:cs="Arial"/>
          <w:bCs/>
          <w:sz w:val="24"/>
          <w:szCs w:val="24"/>
        </w:rPr>
      </w:pPr>
    </w:p>
    <w:p w:rsidR="00DD7D70" w:rsidRPr="00A630F7" w:rsidRDefault="005A360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bCs/>
          <w:sz w:val="24"/>
          <w:szCs w:val="24"/>
        </w:rPr>
        <w:t>2.7</w:t>
      </w:r>
      <w:r w:rsidR="00DD7D70" w:rsidRPr="00A630F7">
        <w:rPr>
          <w:rFonts w:ascii="Century Gothic" w:eastAsia="CenturyGothic" w:hAnsi="Century Gothic" w:cs="Arial"/>
          <w:bCs/>
          <w:sz w:val="24"/>
          <w:szCs w:val="24"/>
        </w:rPr>
        <w:t>. Fichas técnicas</w:t>
      </w:r>
    </w:p>
    <w:p w:rsidR="00EC3F2D" w:rsidRPr="00A630F7" w:rsidRDefault="00EC3F2D"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 xml:space="preserve">Ficha técnica de AFLURIA® </w:t>
      </w:r>
      <w:r w:rsidR="00A630F7">
        <w:rPr>
          <w:rFonts w:ascii="Century Gothic" w:eastAsia="CenturyGothic" w:hAnsi="Century Gothic" w:cs="Arial"/>
          <w:sz w:val="24"/>
          <w:szCs w:val="24"/>
        </w:rPr>
        <w:t xml:space="preserve">……………………………………………………………….. </w:t>
      </w:r>
      <w:r w:rsidR="005A3600" w:rsidRPr="00A630F7">
        <w:rPr>
          <w:rFonts w:ascii="Century Gothic" w:eastAsia="CenturyGothic" w:hAnsi="Century Gothic" w:cs="Arial"/>
          <w:sz w:val="24"/>
          <w:szCs w:val="24"/>
        </w:rPr>
        <w:t>27</w:t>
      </w:r>
    </w:p>
    <w:p w:rsidR="00DD7D70"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Ficha técnica de CHIROFLU® ……………………………..…………..……</w:t>
      </w:r>
      <w:r w:rsidR="00A630F7">
        <w:rPr>
          <w:rFonts w:ascii="Century Gothic" w:eastAsia="CenturyGothic" w:hAnsi="Century Gothic" w:cs="Arial"/>
          <w:sz w:val="24"/>
          <w:szCs w:val="24"/>
        </w:rPr>
        <w:t>……………..</w:t>
      </w:r>
      <w:r w:rsidRPr="00A630F7">
        <w:rPr>
          <w:rFonts w:ascii="Century Gothic" w:eastAsia="CenturyGothic" w:hAnsi="Century Gothic" w:cs="Arial"/>
          <w:sz w:val="24"/>
          <w:szCs w:val="24"/>
        </w:rPr>
        <w:t xml:space="preserve"> </w:t>
      </w:r>
      <w:r w:rsidR="005A3600" w:rsidRPr="00A630F7">
        <w:rPr>
          <w:rFonts w:ascii="Century Gothic" w:eastAsia="CenturyGothic" w:hAnsi="Century Gothic" w:cs="Arial"/>
          <w:sz w:val="24"/>
          <w:szCs w:val="24"/>
        </w:rPr>
        <w:t>33</w:t>
      </w:r>
    </w:p>
    <w:p w:rsidR="00F4741F" w:rsidRPr="00A630F7" w:rsidRDefault="00DD7D70"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Ficha técnica de CHIROMAS®………………………………...……</w:t>
      </w:r>
      <w:r w:rsidR="00A630F7">
        <w:rPr>
          <w:rFonts w:ascii="Century Gothic" w:eastAsia="CenturyGothic" w:hAnsi="Century Gothic" w:cs="Arial"/>
          <w:sz w:val="24"/>
          <w:szCs w:val="24"/>
        </w:rPr>
        <w:t>……………..</w:t>
      </w:r>
      <w:r w:rsidRPr="00A630F7">
        <w:rPr>
          <w:rFonts w:ascii="Century Gothic" w:eastAsia="CenturyGothic" w:hAnsi="Century Gothic" w:cs="Arial"/>
          <w:sz w:val="24"/>
          <w:szCs w:val="24"/>
        </w:rPr>
        <w:t>…</w:t>
      </w:r>
      <w:r w:rsidR="00A630F7">
        <w:rPr>
          <w:rFonts w:ascii="Century Gothic" w:eastAsia="CenturyGothic" w:hAnsi="Century Gothic" w:cs="Arial"/>
          <w:sz w:val="24"/>
          <w:szCs w:val="24"/>
        </w:rPr>
        <w:t>…..</w:t>
      </w:r>
      <w:r w:rsidRPr="00A630F7">
        <w:rPr>
          <w:rFonts w:ascii="Century Gothic" w:eastAsia="CenturyGothic" w:hAnsi="Century Gothic" w:cs="Arial"/>
          <w:sz w:val="24"/>
          <w:szCs w:val="24"/>
        </w:rPr>
        <w:t xml:space="preserve">.. </w:t>
      </w:r>
      <w:r w:rsidR="005A3600" w:rsidRPr="00A630F7">
        <w:rPr>
          <w:rFonts w:ascii="Century Gothic" w:eastAsia="CenturyGothic" w:hAnsi="Century Gothic" w:cs="Arial"/>
          <w:sz w:val="24"/>
          <w:szCs w:val="24"/>
        </w:rPr>
        <w:t>37</w:t>
      </w:r>
    </w:p>
    <w:p w:rsidR="00F4741F" w:rsidRPr="00A630F7" w:rsidRDefault="00F4741F" w:rsidP="00F4741F">
      <w:pPr>
        <w:autoSpaceDE w:val="0"/>
        <w:spacing w:after="0" w:line="240" w:lineRule="atLeast"/>
        <w:jc w:val="both"/>
        <w:rPr>
          <w:rFonts w:ascii="Century Gothic" w:eastAsia="CenturyGothic" w:hAnsi="Century Gothic" w:cs="Arial"/>
          <w:sz w:val="24"/>
          <w:szCs w:val="24"/>
        </w:rPr>
      </w:pPr>
    </w:p>
    <w:p w:rsidR="00F4741F" w:rsidRPr="00A630F7" w:rsidRDefault="00F4741F" w:rsidP="00F4741F">
      <w:pPr>
        <w:autoSpaceDE w:val="0"/>
        <w:spacing w:after="0" w:line="240" w:lineRule="atLeast"/>
        <w:jc w:val="both"/>
        <w:rPr>
          <w:rFonts w:ascii="Century Gothic" w:eastAsia="CenturyGothic" w:hAnsi="Century Gothic" w:cs="Arial"/>
          <w:sz w:val="24"/>
          <w:szCs w:val="24"/>
        </w:rPr>
      </w:pPr>
      <w:r w:rsidRPr="00A630F7">
        <w:rPr>
          <w:rFonts w:ascii="Century Gothic" w:eastAsia="CenturyGothic" w:hAnsi="Century Gothic" w:cs="Arial"/>
          <w:sz w:val="24"/>
          <w:szCs w:val="24"/>
        </w:rPr>
        <w:t xml:space="preserve">2.8 </w:t>
      </w:r>
      <w:r w:rsidRPr="00A630F7">
        <w:rPr>
          <w:rFonts w:ascii="Century Gothic" w:hAnsi="Century Gothic" w:cs="Arial"/>
          <w:bCs/>
          <w:sz w:val="24"/>
          <w:szCs w:val="24"/>
        </w:rPr>
        <w:t>Información de utilidad para la recepción de vacunas y cadena de frío</w:t>
      </w:r>
      <w:r w:rsidR="00A630F7">
        <w:rPr>
          <w:rFonts w:ascii="Century Gothic" w:hAnsi="Century Gothic" w:cs="Arial"/>
          <w:bCs/>
          <w:sz w:val="24"/>
          <w:szCs w:val="24"/>
        </w:rPr>
        <w:t>….</w:t>
      </w:r>
      <w:r w:rsidRPr="00A630F7">
        <w:rPr>
          <w:rFonts w:ascii="Century Gothic" w:hAnsi="Century Gothic" w:cs="Arial"/>
          <w:bCs/>
          <w:sz w:val="24"/>
          <w:szCs w:val="24"/>
        </w:rPr>
        <w:t>..44</w:t>
      </w:r>
    </w:p>
    <w:p w:rsidR="00F4741F" w:rsidRPr="00A630F7" w:rsidRDefault="00F4741F" w:rsidP="00F4741F">
      <w:pPr>
        <w:autoSpaceDE w:val="0"/>
        <w:spacing w:after="0" w:line="240" w:lineRule="atLeast"/>
        <w:jc w:val="both"/>
        <w:rPr>
          <w:rFonts w:ascii="Century Gothic" w:eastAsia="CenturyGothic" w:hAnsi="Century Gothic" w:cs="Arial"/>
          <w:sz w:val="24"/>
          <w:szCs w:val="24"/>
        </w:rPr>
      </w:pPr>
    </w:p>
    <w:p w:rsidR="00DD7D70" w:rsidRPr="00A630F7" w:rsidRDefault="00DD7D70" w:rsidP="00F4741F">
      <w:pPr>
        <w:autoSpaceDE w:val="0"/>
        <w:spacing w:after="0" w:line="240" w:lineRule="atLeast"/>
        <w:jc w:val="both"/>
        <w:rPr>
          <w:rFonts w:ascii="Century Gothic" w:eastAsia="CenturyGothic" w:hAnsi="Century Gothic" w:cs="Arial"/>
          <w:bCs/>
          <w:sz w:val="24"/>
          <w:szCs w:val="24"/>
        </w:rPr>
      </w:pPr>
    </w:p>
    <w:p w:rsidR="00DD7D70" w:rsidRPr="00A630F7" w:rsidRDefault="00DD7D70">
      <w:pPr>
        <w:autoSpaceDE w:val="0"/>
        <w:spacing w:after="0" w:line="240" w:lineRule="auto"/>
        <w:jc w:val="both"/>
        <w:rPr>
          <w:rFonts w:ascii="Century Gothic" w:eastAsia="CenturyGothic" w:hAnsi="Century Gothic" w:cs="Arial"/>
          <w:bCs/>
          <w:sz w:val="24"/>
          <w:szCs w:val="24"/>
        </w:rPr>
      </w:pPr>
    </w:p>
    <w:p w:rsidR="00DD7D70" w:rsidRPr="00F4741F" w:rsidRDefault="00DD7D70">
      <w:pPr>
        <w:autoSpaceDE w:val="0"/>
        <w:spacing w:after="0" w:line="240" w:lineRule="auto"/>
        <w:jc w:val="both"/>
        <w:rPr>
          <w:rFonts w:ascii="Century Gothic" w:eastAsia="CenturyGothic" w:hAnsi="Century Gothic"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DD7D70" w:rsidRDefault="00DD7D70">
      <w:pPr>
        <w:autoSpaceDE w:val="0"/>
        <w:spacing w:after="0" w:line="240" w:lineRule="auto"/>
        <w:jc w:val="both"/>
        <w:rPr>
          <w:rFonts w:ascii="Arial" w:eastAsia="CenturyGothic" w:hAnsi="Arial" w:cs="Arial"/>
          <w:b/>
          <w:bCs/>
          <w:sz w:val="24"/>
          <w:szCs w:val="24"/>
        </w:rPr>
      </w:pPr>
    </w:p>
    <w:p w:rsidR="00E261FA" w:rsidRDefault="00E261FA">
      <w:pPr>
        <w:autoSpaceDE w:val="0"/>
        <w:spacing w:after="0" w:line="240" w:lineRule="auto"/>
        <w:jc w:val="both"/>
        <w:rPr>
          <w:rFonts w:ascii="Century Gothic" w:eastAsia="CenturyGothic" w:hAnsi="Century Gothic" w:cs="Arial"/>
          <w:b/>
          <w:bCs/>
          <w:color w:val="2E74B5" w:themeColor="accent1" w:themeShade="BF"/>
          <w:sz w:val="32"/>
          <w:szCs w:val="32"/>
        </w:rPr>
      </w:pPr>
    </w:p>
    <w:p w:rsidR="00E261FA" w:rsidRDefault="00E261FA">
      <w:pPr>
        <w:autoSpaceDE w:val="0"/>
        <w:spacing w:after="0" w:line="240" w:lineRule="auto"/>
        <w:jc w:val="both"/>
        <w:rPr>
          <w:rFonts w:ascii="Century Gothic" w:eastAsia="CenturyGothic" w:hAnsi="Century Gothic" w:cs="Arial"/>
          <w:b/>
          <w:bCs/>
          <w:color w:val="2E74B5" w:themeColor="accent1" w:themeShade="BF"/>
          <w:sz w:val="32"/>
          <w:szCs w:val="32"/>
        </w:rPr>
      </w:pPr>
    </w:p>
    <w:p w:rsidR="00DD7D70" w:rsidRPr="00614F58" w:rsidRDefault="00DD7D70">
      <w:pPr>
        <w:autoSpaceDE w:val="0"/>
        <w:spacing w:after="0" w:line="240" w:lineRule="auto"/>
        <w:jc w:val="both"/>
        <w:rPr>
          <w:rFonts w:ascii="Century Gothic" w:eastAsia="CenturyGothic" w:hAnsi="Century Gothic" w:cs="Arial"/>
          <w:b/>
          <w:bCs/>
          <w:color w:val="2E74B5" w:themeColor="accent1" w:themeShade="BF"/>
        </w:rPr>
      </w:pPr>
      <w:r w:rsidRPr="00614F58">
        <w:rPr>
          <w:rFonts w:ascii="Century Gothic" w:eastAsia="CenturyGothic" w:hAnsi="Century Gothic" w:cs="Arial"/>
          <w:b/>
          <w:bCs/>
          <w:color w:val="2E74B5" w:themeColor="accent1" w:themeShade="BF"/>
          <w:sz w:val="32"/>
          <w:szCs w:val="32"/>
        </w:rPr>
        <w:lastRenderedPageBreak/>
        <w:t>Campaña de vacunación antigripal 2018-19</w:t>
      </w:r>
    </w:p>
    <w:p w:rsidR="00DD7D70" w:rsidRPr="00614F58" w:rsidRDefault="00DD7D70">
      <w:pPr>
        <w:autoSpaceDE w:val="0"/>
        <w:spacing w:after="0" w:line="240" w:lineRule="auto"/>
        <w:jc w:val="both"/>
        <w:rPr>
          <w:rFonts w:ascii="Century Gothic" w:eastAsia="CenturyGothic" w:hAnsi="Century Gothic" w:cs="Arial"/>
          <w:b/>
          <w:bCs/>
          <w:color w:val="2E74B5" w:themeColor="accent1" w:themeShade="BF"/>
        </w:rPr>
      </w:pPr>
    </w:p>
    <w:p w:rsidR="00DD7D70" w:rsidRPr="00614F58" w:rsidRDefault="00E60EC4">
      <w:pPr>
        <w:autoSpaceDE w:val="0"/>
        <w:spacing w:after="0" w:line="240" w:lineRule="auto"/>
        <w:jc w:val="both"/>
        <w:rPr>
          <w:rFonts w:ascii="Century Gothic" w:eastAsia="CenturyGothic" w:hAnsi="Century Gothic" w:cs="Arial"/>
          <w:color w:val="2E74B5" w:themeColor="accent1" w:themeShade="BF"/>
        </w:rPr>
      </w:pPr>
      <w:r>
        <w:rPr>
          <w:rFonts w:ascii="Century Gothic" w:eastAsia="CenturyGothic" w:hAnsi="Century Gothic" w:cs="Arial"/>
          <w:b/>
          <w:bCs/>
          <w:color w:val="2E74B5" w:themeColor="accent1" w:themeShade="BF"/>
          <w:sz w:val="28"/>
          <w:szCs w:val="28"/>
        </w:rPr>
        <w:t>1.1 Información general</w:t>
      </w:r>
    </w:p>
    <w:p w:rsidR="00DD7D70" w:rsidRPr="009A6FDB" w:rsidRDefault="00004D90">
      <w:pPr>
        <w:autoSpaceDE w:val="0"/>
        <w:spacing w:before="240" w:after="0" w:line="240" w:lineRule="auto"/>
        <w:jc w:val="both"/>
        <w:rPr>
          <w:rFonts w:ascii="Century Gothic" w:eastAsia="CenturyGothic" w:hAnsi="Century Gothic" w:cs="Arial"/>
        </w:rPr>
      </w:pPr>
      <w:r>
        <w:rPr>
          <w:rFonts w:ascii="Century Gothic" w:eastAsia="CenturyGothic" w:hAnsi="Century Gothic" w:cs="Arial"/>
        </w:rPr>
        <w:t>Los</w:t>
      </w:r>
      <w:r w:rsidR="00DD7D70" w:rsidRPr="009A6FDB">
        <w:rPr>
          <w:rFonts w:ascii="Century Gothic" w:eastAsia="CenturyGothic" w:hAnsi="Century Gothic" w:cs="Arial"/>
        </w:rPr>
        <w:t xml:space="preserve"> objetivo</w:t>
      </w:r>
      <w:r>
        <w:rPr>
          <w:rFonts w:ascii="Century Gothic" w:eastAsia="CenturyGothic" w:hAnsi="Century Gothic" w:cs="Arial"/>
        </w:rPr>
        <w:t>s</w:t>
      </w:r>
      <w:r w:rsidR="00DD7D70" w:rsidRPr="009A6FDB">
        <w:rPr>
          <w:rFonts w:ascii="Century Gothic" w:eastAsia="CenturyGothic" w:hAnsi="Century Gothic" w:cs="Arial"/>
        </w:rPr>
        <w:t xml:space="preserve"> de la campaña anual de vacunación frente a la gripe</w:t>
      </w:r>
      <w:r>
        <w:rPr>
          <w:rFonts w:ascii="Century Gothic" w:eastAsia="CenturyGothic" w:hAnsi="Century Gothic" w:cs="Arial"/>
        </w:rPr>
        <w:t xml:space="preserve"> estacional, son</w:t>
      </w:r>
      <w:r w:rsidR="00DD7D70" w:rsidRPr="009A6FDB">
        <w:rPr>
          <w:rFonts w:ascii="Century Gothic" w:eastAsia="CenturyGothic" w:hAnsi="Century Gothic" w:cs="Arial"/>
        </w:rPr>
        <w:t xml:space="preserve"> reducir </w:t>
      </w:r>
      <w:r w:rsidR="0033174D" w:rsidRPr="009A6FDB">
        <w:rPr>
          <w:rFonts w:ascii="Century Gothic" w:eastAsia="CenturyGothic" w:hAnsi="Century Gothic" w:cs="Arial"/>
        </w:rPr>
        <w:t xml:space="preserve">las complicaciones que </w:t>
      </w:r>
      <w:r w:rsidR="00DD7D70" w:rsidRPr="009A6FDB">
        <w:rPr>
          <w:rFonts w:ascii="Century Gothic" w:eastAsia="CenturyGothic" w:hAnsi="Century Gothic" w:cs="Arial"/>
        </w:rPr>
        <w:t>la infección por este</w:t>
      </w:r>
      <w:r>
        <w:rPr>
          <w:rFonts w:ascii="Century Gothic" w:eastAsia="CenturyGothic" w:hAnsi="Century Gothic" w:cs="Arial"/>
        </w:rPr>
        <w:t xml:space="preserve"> virus</w:t>
      </w:r>
      <w:r w:rsidR="0033174D" w:rsidRPr="009A6FDB">
        <w:rPr>
          <w:rFonts w:ascii="Century Gothic" w:eastAsia="CenturyGothic" w:hAnsi="Century Gothic" w:cs="Arial"/>
        </w:rPr>
        <w:t xml:space="preserve">  puede provocar en personas de riesgo por su edad, situación especial o enfermedad crónica, reducir su propagación en nuestro medio, y proteger a </w:t>
      </w:r>
      <w:r w:rsidR="00DD7D70" w:rsidRPr="009A6FDB">
        <w:rPr>
          <w:rFonts w:ascii="Century Gothic" w:eastAsia="CenturyGothic" w:hAnsi="Century Gothic" w:cs="Arial"/>
        </w:rPr>
        <w:t>profesionales que realizan actividades esenciales para la comunidad</w:t>
      </w:r>
    </w:p>
    <w:p w:rsidR="00C35FD1" w:rsidRDefault="0033174D">
      <w:pPr>
        <w:autoSpaceDE w:val="0"/>
        <w:spacing w:before="240" w:after="0" w:line="240" w:lineRule="auto"/>
        <w:jc w:val="both"/>
        <w:rPr>
          <w:rFonts w:ascii="Century Gothic" w:eastAsia="CenturyGothic" w:hAnsi="Century Gothic" w:cs="Arial"/>
        </w:rPr>
      </w:pPr>
      <w:r w:rsidRPr="009A6FDB">
        <w:rPr>
          <w:rFonts w:ascii="Century Gothic" w:eastAsia="CenturyGothic" w:hAnsi="Century Gothic" w:cs="Arial"/>
          <w:color w:val="000000"/>
        </w:rPr>
        <w:t>En el marco de la</w:t>
      </w:r>
      <w:r w:rsidR="00DD7D70" w:rsidRPr="009A6FDB">
        <w:rPr>
          <w:rFonts w:ascii="Century Gothic" w:eastAsia="CenturyGothic" w:hAnsi="Century Gothic" w:cs="Arial"/>
          <w:color w:val="000000"/>
        </w:rPr>
        <w:t xml:space="preserve"> campaña de salud pública de </w:t>
      </w:r>
      <w:r w:rsidRPr="009A6FDB">
        <w:rPr>
          <w:rFonts w:ascii="Century Gothic" w:eastAsia="CenturyGothic" w:hAnsi="Century Gothic" w:cs="Arial"/>
          <w:color w:val="000000"/>
        </w:rPr>
        <w:t>ámbito nacional, en Cantabria,</w:t>
      </w:r>
      <w:r w:rsidR="00DD7D70" w:rsidRPr="009A6FDB">
        <w:rPr>
          <w:rFonts w:ascii="Century Gothic" w:eastAsia="CenturyGothic" w:hAnsi="Century Gothic" w:cs="Arial"/>
          <w:color w:val="000000"/>
        </w:rPr>
        <w:t xml:space="preserve"> la Dirección General de Salud Pública de la Consejería de San</w:t>
      </w:r>
      <w:r w:rsidRPr="009A6FDB">
        <w:rPr>
          <w:rFonts w:ascii="Century Gothic" w:eastAsia="CenturyGothic" w:hAnsi="Century Gothic" w:cs="Arial"/>
          <w:color w:val="000000"/>
        </w:rPr>
        <w:t xml:space="preserve">idad establece </w:t>
      </w:r>
      <w:r w:rsidR="00DD7D70" w:rsidRPr="009A6FDB">
        <w:rPr>
          <w:rFonts w:ascii="Century Gothic" w:eastAsia="CenturyGothic" w:hAnsi="Century Gothic" w:cs="Arial"/>
          <w:color w:val="000000"/>
        </w:rPr>
        <w:t>las dir</w:t>
      </w:r>
      <w:r w:rsidRPr="009A6FDB">
        <w:rPr>
          <w:rFonts w:ascii="Century Gothic" w:eastAsia="CenturyGothic" w:hAnsi="Century Gothic" w:cs="Arial"/>
          <w:color w:val="000000"/>
        </w:rPr>
        <w:t xml:space="preserve">ectrices sobre el alcance y </w:t>
      </w:r>
      <w:r w:rsidR="00DD7D70" w:rsidRPr="009A6FDB">
        <w:rPr>
          <w:rFonts w:ascii="Century Gothic" w:eastAsia="CenturyGothic" w:hAnsi="Century Gothic" w:cs="Arial"/>
          <w:color w:val="000000"/>
        </w:rPr>
        <w:t>caracter</w:t>
      </w:r>
      <w:r w:rsidRPr="009A6FDB">
        <w:rPr>
          <w:rFonts w:ascii="Century Gothic" w:eastAsia="CenturyGothic" w:hAnsi="Century Gothic" w:cs="Arial"/>
          <w:color w:val="000000"/>
        </w:rPr>
        <w:t>ísticas de la campaña,</w:t>
      </w:r>
      <w:r w:rsidR="00DD7D70" w:rsidRPr="009A6FDB">
        <w:rPr>
          <w:rFonts w:ascii="Century Gothic" w:eastAsia="CenturyGothic" w:hAnsi="Century Gothic" w:cs="Arial"/>
          <w:color w:val="000000"/>
        </w:rPr>
        <w:t xml:space="preserve"> y los</w:t>
      </w:r>
      <w:r w:rsidR="009A6FDB">
        <w:rPr>
          <w:rFonts w:ascii="Century Gothic" w:eastAsia="CenturyGothic" w:hAnsi="Century Gothic" w:cs="Arial"/>
          <w:color w:val="000000"/>
        </w:rPr>
        <w:t xml:space="preserve"> profesionales de los</w:t>
      </w:r>
      <w:r w:rsidR="00DD7D70" w:rsidRPr="009A6FDB">
        <w:rPr>
          <w:rFonts w:ascii="Century Gothic" w:eastAsia="CenturyGothic" w:hAnsi="Century Gothic" w:cs="Arial"/>
          <w:color w:val="000000"/>
        </w:rPr>
        <w:t xml:space="preserve"> </w:t>
      </w:r>
      <w:r w:rsidRPr="009A6FDB">
        <w:rPr>
          <w:rFonts w:ascii="Century Gothic" w:eastAsia="CenturyGothic" w:hAnsi="Century Gothic" w:cs="Arial"/>
          <w:color w:val="000000"/>
        </w:rPr>
        <w:t xml:space="preserve">Centros de Salud de la Gerencia </w:t>
      </w:r>
      <w:r w:rsidR="00DD7D70" w:rsidRPr="009A6FDB">
        <w:rPr>
          <w:rFonts w:ascii="Century Gothic" w:eastAsia="CenturyGothic" w:hAnsi="Century Gothic" w:cs="Arial"/>
          <w:color w:val="000000"/>
        </w:rPr>
        <w:t>Atención</w:t>
      </w:r>
      <w:r w:rsidR="009A6FDB" w:rsidRPr="009A6FDB">
        <w:rPr>
          <w:rFonts w:ascii="Century Gothic" w:eastAsia="CenturyGothic" w:hAnsi="Century Gothic" w:cs="Arial"/>
          <w:color w:val="000000"/>
        </w:rPr>
        <w:t xml:space="preserve"> Primaria</w:t>
      </w:r>
      <w:r w:rsidR="00DD7D70" w:rsidRPr="009A6FDB">
        <w:rPr>
          <w:rFonts w:ascii="Century Gothic" w:eastAsia="CenturyGothic" w:hAnsi="Century Gothic" w:cs="Arial"/>
          <w:color w:val="000000"/>
        </w:rPr>
        <w:t xml:space="preserve"> </w:t>
      </w:r>
      <w:r w:rsidRPr="009A6FDB">
        <w:rPr>
          <w:rFonts w:ascii="Century Gothic" w:eastAsia="CenturyGothic" w:hAnsi="Century Gothic" w:cs="Arial"/>
          <w:color w:val="000000"/>
        </w:rPr>
        <w:t>del SC</w:t>
      </w:r>
      <w:r w:rsidRPr="00004D90">
        <w:rPr>
          <w:rFonts w:ascii="Century Gothic" w:eastAsia="CenturyGothic" w:hAnsi="Century Gothic" w:cs="Arial"/>
        </w:rPr>
        <w:t>S</w:t>
      </w:r>
      <w:r w:rsidR="009A6FDB" w:rsidRPr="00004D90">
        <w:rPr>
          <w:rFonts w:ascii="Century Gothic" w:hAnsi="Century Gothic" w:cs="Arial"/>
        </w:rPr>
        <w:t xml:space="preserve">, según está definido en la Cartera de Servicios Comunes del Sistema Nacional de Salud (Real Decreto 1030/2006, de 15 de septiembre) </w:t>
      </w:r>
      <w:r w:rsidR="009A6FDB" w:rsidRPr="00004D90">
        <w:rPr>
          <w:rFonts w:ascii="Century Gothic" w:eastAsia="CenturyGothic" w:hAnsi="Century Gothic" w:cs="Arial"/>
        </w:rPr>
        <w:t>realizan la</w:t>
      </w:r>
      <w:r w:rsidR="00004D90" w:rsidRPr="00004D90">
        <w:rPr>
          <w:rFonts w:ascii="Century Gothic" w:eastAsia="CenturyGothic" w:hAnsi="Century Gothic" w:cs="Arial"/>
        </w:rPr>
        <w:t>s actividades de</w:t>
      </w:r>
      <w:r w:rsidR="009A6FDB" w:rsidRPr="00004D90">
        <w:rPr>
          <w:rFonts w:ascii="Century Gothic" w:eastAsia="CenturyGothic" w:hAnsi="Century Gothic" w:cs="Arial"/>
        </w:rPr>
        <w:t xml:space="preserve"> vacunación</w:t>
      </w:r>
      <w:r w:rsidR="00004D90" w:rsidRPr="00004D90">
        <w:rPr>
          <w:rFonts w:ascii="Century Gothic" w:eastAsia="CenturyGothic" w:hAnsi="Century Gothic" w:cs="Arial"/>
        </w:rPr>
        <w:t>, registro y notificación</w:t>
      </w:r>
      <w:r w:rsidR="00DD7D70" w:rsidRPr="00004D90">
        <w:rPr>
          <w:rFonts w:ascii="Century Gothic" w:eastAsia="CenturyGothic" w:hAnsi="Century Gothic" w:cs="Arial"/>
        </w:rPr>
        <w:t>.</w:t>
      </w:r>
      <w:r w:rsidR="009A6FDB" w:rsidRPr="00004D90">
        <w:rPr>
          <w:rFonts w:ascii="Century Gothic" w:eastAsia="CenturyGothic" w:hAnsi="Century Gothic" w:cs="Arial"/>
        </w:rPr>
        <w:t xml:space="preserve"> </w:t>
      </w:r>
    </w:p>
    <w:p w:rsidR="002B22BA" w:rsidRDefault="002B22BA" w:rsidP="00E60EC4">
      <w:pPr>
        <w:autoSpaceDE w:val="0"/>
        <w:spacing w:after="0" w:line="240" w:lineRule="auto"/>
        <w:jc w:val="both"/>
        <w:rPr>
          <w:rStyle w:val="Textoennegrita"/>
          <w:rFonts w:ascii="Century Gothic" w:hAnsi="Century Gothic"/>
          <w:b w:val="0"/>
        </w:rPr>
      </w:pPr>
    </w:p>
    <w:p w:rsidR="00E60EC4" w:rsidRPr="00E60EC4" w:rsidRDefault="00E60EC4" w:rsidP="00E60EC4">
      <w:pPr>
        <w:autoSpaceDE w:val="0"/>
        <w:spacing w:after="0" w:line="240" w:lineRule="auto"/>
        <w:jc w:val="both"/>
        <w:rPr>
          <w:rStyle w:val="Textoennegrita"/>
          <w:rFonts w:ascii="Century Gothic" w:hAnsi="Century Gothic"/>
          <w:b w:val="0"/>
        </w:rPr>
      </w:pPr>
      <w:r w:rsidRPr="00E60EC4">
        <w:rPr>
          <w:rStyle w:val="Textoennegrita"/>
          <w:rFonts w:ascii="Century Gothic" w:hAnsi="Century Gothic"/>
          <w:b w:val="0"/>
        </w:rPr>
        <w:t xml:space="preserve">El Gobierno de Cantabria ha suscrito el Acuerdo Marco para la compra de la vacuna estacional frente </w:t>
      </w:r>
      <w:r>
        <w:rPr>
          <w:rStyle w:val="Textoennegrita"/>
          <w:rFonts w:ascii="Century Gothic" w:hAnsi="Century Gothic"/>
          <w:b w:val="0"/>
        </w:rPr>
        <w:t xml:space="preserve">a la gripe. Como contrato derivado de este Acuerdo Marco, se ha adquirido la </w:t>
      </w:r>
      <w:r w:rsidRPr="00E60EC4">
        <w:rPr>
          <w:rStyle w:val="Textoennegrita"/>
          <w:rFonts w:ascii="Century Gothic" w:hAnsi="Century Gothic"/>
          <w:b w:val="0"/>
        </w:rPr>
        <w:t>vacuna trivalente</w:t>
      </w:r>
      <w:r>
        <w:rPr>
          <w:rStyle w:val="Textoennegrita"/>
          <w:rFonts w:ascii="Century Gothic" w:hAnsi="Century Gothic"/>
          <w:b w:val="0"/>
        </w:rPr>
        <w:t xml:space="preserve"> antigripal</w:t>
      </w:r>
      <w:r w:rsidRPr="00E60EC4">
        <w:rPr>
          <w:rStyle w:val="Textoennegrita"/>
          <w:rFonts w:ascii="Century Gothic" w:hAnsi="Century Gothic"/>
          <w:b w:val="0"/>
        </w:rPr>
        <w:t xml:space="preserve"> en sus presentaciones: AFLURIA®, CHIROFLU® y CHIROMAS® al laboratorio Seqirus, como único suministrador del Acuerdo Marco en esta ocasión.</w:t>
      </w:r>
    </w:p>
    <w:p w:rsidR="00D3084F" w:rsidRDefault="00D3084F" w:rsidP="00D3084F">
      <w:pPr>
        <w:autoSpaceDE w:val="0"/>
        <w:spacing w:before="240" w:after="0" w:line="240" w:lineRule="auto"/>
        <w:jc w:val="both"/>
        <w:rPr>
          <w:rFonts w:ascii="Century Gothic" w:hAnsi="Century Gothic" w:cs="Arial"/>
        </w:rPr>
      </w:pPr>
      <w:r w:rsidRPr="007D239E">
        <w:rPr>
          <w:rFonts w:ascii="Century Gothic" w:hAnsi="Century Gothic" w:cs="Arial"/>
        </w:rPr>
        <w:t xml:space="preserve">El Consejo de Gobierno de Cantabria ha autorizado en el pasado mes de septiembre, la celebración del </w:t>
      </w:r>
      <w:r w:rsidRPr="00FB4932">
        <w:rPr>
          <w:rFonts w:ascii="Century Gothic" w:hAnsi="Century Gothic" w:cs="Arial"/>
        </w:rPr>
        <w:t>contrato de suministro de vacunas frente a la gripe estac</w:t>
      </w:r>
      <w:r w:rsidR="00FB4932" w:rsidRPr="00FB4932">
        <w:rPr>
          <w:rFonts w:ascii="Century Gothic" w:hAnsi="Century Gothic" w:cs="Arial"/>
        </w:rPr>
        <w:t xml:space="preserve">ional para la campaña 2018-2019, que </w:t>
      </w:r>
      <w:r w:rsidRPr="00FB4932">
        <w:rPr>
          <w:rFonts w:ascii="Century Gothic" w:hAnsi="Century Gothic" w:cs="Arial"/>
        </w:rPr>
        <w:t>asciende a un</w:t>
      </w:r>
      <w:r w:rsidR="00FB4932" w:rsidRPr="00FB4932">
        <w:rPr>
          <w:rFonts w:ascii="Century Gothic" w:hAnsi="Century Gothic" w:cs="Arial"/>
        </w:rPr>
        <w:t xml:space="preserve"> importe</w:t>
      </w:r>
      <w:r w:rsidRPr="00FB4932">
        <w:rPr>
          <w:rFonts w:ascii="Century Gothic" w:hAnsi="Century Gothic" w:cs="Arial"/>
        </w:rPr>
        <w:t xml:space="preserve"> total de 3</w:t>
      </w:r>
      <w:r w:rsidR="002B22BA">
        <w:rPr>
          <w:rFonts w:ascii="Century Gothic" w:hAnsi="Century Gothic" w:cs="Arial"/>
        </w:rPr>
        <w:t>35.046,</w:t>
      </w:r>
      <w:r w:rsidRPr="00FB4932">
        <w:rPr>
          <w:rFonts w:ascii="Century Gothic" w:hAnsi="Century Gothic" w:cs="Arial"/>
        </w:rPr>
        <w:t>40 €</w:t>
      </w:r>
      <w:r w:rsidR="00FB4932">
        <w:rPr>
          <w:rFonts w:ascii="Century Gothic" w:hAnsi="Century Gothic" w:cs="Arial"/>
        </w:rPr>
        <w:t>.</w:t>
      </w:r>
    </w:p>
    <w:p w:rsidR="00FB7FB7" w:rsidRDefault="00D3084F" w:rsidP="00D3084F">
      <w:pPr>
        <w:autoSpaceDE w:val="0"/>
        <w:spacing w:before="240" w:after="0" w:line="240" w:lineRule="auto"/>
        <w:jc w:val="both"/>
        <w:rPr>
          <w:rFonts w:ascii="Century Gothic" w:eastAsia="CenturyGothic" w:hAnsi="Century Gothic" w:cs="Arial"/>
          <w:color w:val="000000"/>
        </w:rPr>
      </w:pPr>
      <w:r w:rsidRPr="00D22CE3">
        <w:rPr>
          <w:rFonts w:ascii="Century Gothic" w:eastAsia="CenturyGothic" w:hAnsi="Century Gothic" w:cs="Arial"/>
          <w:color w:val="000000"/>
        </w:rPr>
        <w:t>Todos/as los/as profesionales sanitarios son agentes imprescindibles de salud</w:t>
      </w:r>
      <w:r>
        <w:rPr>
          <w:rFonts w:ascii="Century Gothic" w:eastAsia="CenturyGothic" w:hAnsi="Century Gothic" w:cs="Arial"/>
          <w:color w:val="000000"/>
        </w:rPr>
        <w:t xml:space="preserve"> pública. </w:t>
      </w:r>
      <w:r w:rsidR="00FB7FB7" w:rsidRPr="00D22CE3">
        <w:rPr>
          <w:rFonts w:ascii="Century Gothic" w:hAnsi="Century Gothic" w:cs="Arial"/>
        </w:rPr>
        <w:t>Es responsabilidad de las  profesiones sanitaras favorecer que la campaña cumpla los objetiv</w:t>
      </w:r>
      <w:r w:rsidR="00FB7FB7">
        <w:rPr>
          <w:rFonts w:ascii="Century Gothic" w:hAnsi="Century Gothic" w:cs="Arial"/>
        </w:rPr>
        <w:t>os de cobertura poblacional  potenciando la vacunación en esta población</w:t>
      </w:r>
      <w:r w:rsidR="00FB7FB7">
        <w:rPr>
          <w:rFonts w:ascii="Century Gothic" w:eastAsia="CenturyGothic" w:hAnsi="Century Gothic" w:cs="Arial"/>
          <w:color w:val="000000"/>
        </w:rPr>
        <w:t>, m</w:t>
      </w:r>
      <w:r w:rsidRPr="00D22CE3">
        <w:rPr>
          <w:rFonts w:ascii="Century Gothic" w:eastAsia="CenturyGothic" w:hAnsi="Century Gothic" w:cs="Arial"/>
          <w:color w:val="000000"/>
        </w:rPr>
        <w:t>ediante la información, la captación y el asesoramiento de las personas pertenecientes a la población diana</w:t>
      </w:r>
      <w:r w:rsidR="00FB7FB7">
        <w:rPr>
          <w:rFonts w:ascii="Century Gothic" w:eastAsia="CenturyGothic" w:hAnsi="Century Gothic" w:cs="Arial"/>
          <w:color w:val="000000"/>
        </w:rPr>
        <w:t>.</w:t>
      </w:r>
    </w:p>
    <w:p w:rsidR="002B22BA" w:rsidRDefault="002B22BA" w:rsidP="00F56984">
      <w:pPr>
        <w:autoSpaceDE w:val="0"/>
        <w:spacing w:after="0" w:line="240" w:lineRule="auto"/>
        <w:jc w:val="both"/>
        <w:rPr>
          <w:rFonts w:ascii="Century Gothic" w:hAnsi="Century Gothic" w:cs="Arial"/>
        </w:rPr>
      </w:pPr>
    </w:p>
    <w:p w:rsidR="00DD7D70" w:rsidRPr="00F56984" w:rsidRDefault="00D3084F" w:rsidP="00F56984">
      <w:pPr>
        <w:autoSpaceDE w:val="0"/>
        <w:spacing w:after="0" w:line="240" w:lineRule="auto"/>
        <w:jc w:val="both"/>
        <w:rPr>
          <w:rFonts w:ascii="Century Gothic" w:eastAsia="CenturyGothic" w:hAnsi="Century Gothic" w:cs="CenturyGothic"/>
          <w:b/>
          <w:bCs/>
          <w:color w:val="000000"/>
        </w:rPr>
      </w:pPr>
      <w:r w:rsidRPr="00D22CE3">
        <w:rPr>
          <w:rFonts w:ascii="Century Gothic" w:hAnsi="Century Gothic" w:cs="Arial"/>
        </w:rPr>
        <w:t>El presente documento tiene co</w:t>
      </w:r>
      <w:r w:rsidR="00F56984">
        <w:rPr>
          <w:rFonts w:ascii="Century Gothic" w:hAnsi="Century Gothic" w:cs="Arial"/>
        </w:rPr>
        <w:t>mo fin facilitar la labor profesional</w:t>
      </w:r>
      <w:r w:rsidRPr="00D22CE3">
        <w:rPr>
          <w:rFonts w:ascii="Century Gothic" w:hAnsi="Century Gothic" w:cs="Arial"/>
        </w:rPr>
        <w:t xml:space="preserve"> a lo largo de la campaña y responder a los problemas y dudas que puedan surgir durante su </w:t>
      </w:r>
      <w:r w:rsidR="00F56984">
        <w:rPr>
          <w:rFonts w:ascii="Century Gothic" w:hAnsi="Century Gothic" w:cs="Arial"/>
        </w:rPr>
        <w:t>desarrollo, para lo que está a disposición el</w:t>
      </w:r>
      <w:r w:rsidR="00F56984" w:rsidRPr="00F56984">
        <w:rPr>
          <w:rFonts w:ascii="Century Gothic" w:eastAsia="CenturyGothic" w:hAnsi="Century Gothic" w:cs="CenturyGothic"/>
          <w:color w:val="000000"/>
        </w:rPr>
        <w:t xml:space="preserve"> </w:t>
      </w:r>
      <w:r w:rsidR="00F56984">
        <w:rPr>
          <w:rFonts w:ascii="Century Gothic" w:eastAsia="CenturyGothic" w:hAnsi="Century Gothic" w:cs="CenturyGothic"/>
          <w:color w:val="000000"/>
        </w:rPr>
        <w:t>correo electrónico del buzón de vacunas:</w:t>
      </w:r>
      <w:r w:rsidR="00F56984">
        <w:rPr>
          <w:rFonts w:ascii="Century Gothic" w:eastAsia="CenturyGothic" w:hAnsi="Century Gothic" w:cs="CenturyGothic"/>
          <w:b/>
          <w:bCs/>
          <w:color w:val="000000"/>
        </w:rPr>
        <w:t xml:space="preserve"> vacunassanidad@cantabria.es</w:t>
      </w:r>
    </w:p>
    <w:p w:rsidR="00911E94" w:rsidRDefault="00911E94" w:rsidP="00911E94">
      <w:pPr>
        <w:autoSpaceDE w:val="0"/>
        <w:spacing w:before="240" w:after="0" w:line="240" w:lineRule="auto"/>
        <w:jc w:val="both"/>
        <w:rPr>
          <w:rFonts w:ascii="Century Gothic" w:hAnsi="Century Gothic" w:cs="Arial"/>
        </w:rPr>
      </w:pPr>
      <w:r>
        <w:rPr>
          <w:rFonts w:ascii="Century Gothic" w:hAnsi="Century Gothic" w:cs="Arial"/>
        </w:rPr>
        <w:t>La vacunación antigripal se realiza como consecuencia de una decisión de la autoridad sanitaria en materia de salud pública, por constituir un riesgo epidemiológico y en aras de preservar la salud colectiva y la de las personas con mayor riesgo de desarrollar complicaciones por esta enfermedad, por lo que no requiere diagnóstico ni prescripción previa.</w:t>
      </w:r>
    </w:p>
    <w:p w:rsidR="00911E94" w:rsidRDefault="00911E94" w:rsidP="00911E94">
      <w:pPr>
        <w:autoSpaceDE w:val="0"/>
        <w:spacing w:before="240" w:after="0" w:line="240" w:lineRule="auto"/>
        <w:jc w:val="both"/>
        <w:rPr>
          <w:rFonts w:ascii="Century Gothic" w:hAnsi="Century Gothic" w:cs="Arial"/>
        </w:rPr>
      </w:pPr>
      <w:r>
        <w:rPr>
          <w:rFonts w:ascii="Century Gothic" w:hAnsi="Century Gothic" w:cs="Arial"/>
        </w:rPr>
        <w:t>Estas recomendaciones de vacunación se formulan al amparo de lo establecido en la Ley 33/2011, de 4 de octubre, General de Salud Pública, y en la normativa de las Comunidades Autónomas en esta materia.</w:t>
      </w:r>
    </w:p>
    <w:p w:rsidR="00911E94" w:rsidRDefault="00911E94" w:rsidP="00911E94">
      <w:pPr>
        <w:autoSpaceDE w:val="0"/>
        <w:spacing w:before="240" w:after="0" w:line="240" w:lineRule="auto"/>
        <w:jc w:val="both"/>
        <w:rPr>
          <w:rFonts w:ascii="Century Gothic" w:eastAsia="CenturyGothic" w:hAnsi="Century Gothic" w:cs="Arial"/>
          <w:color w:val="000000"/>
          <w:shd w:val="clear" w:color="auto" w:fill="FFFF00"/>
        </w:rPr>
      </w:pPr>
      <w:r>
        <w:rPr>
          <w:rFonts w:ascii="Century Gothic" w:eastAsia="CenturyGothic" w:hAnsi="Century Gothic" w:cs="Arial"/>
          <w:b/>
          <w:bCs/>
        </w:rPr>
        <w:t>Inicio y final de la campaña</w:t>
      </w:r>
    </w:p>
    <w:p w:rsidR="00911E94" w:rsidRPr="00AA05EA" w:rsidRDefault="00911E94" w:rsidP="00911E94">
      <w:pPr>
        <w:autoSpaceDE w:val="0"/>
        <w:spacing w:before="240" w:after="0" w:line="240" w:lineRule="auto"/>
        <w:jc w:val="both"/>
        <w:rPr>
          <w:rStyle w:val="Textoennegrita"/>
          <w:rFonts w:ascii="Century Gothic" w:hAnsi="Century Gothic"/>
          <w:b w:val="0"/>
        </w:rPr>
      </w:pPr>
      <w:r w:rsidRPr="00472371">
        <w:rPr>
          <w:rStyle w:val="Textoennegrita"/>
          <w:rFonts w:ascii="Century Gothic" w:hAnsi="Century Gothic"/>
          <w:b w:val="0"/>
        </w:rPr>
        <w:t>La Campaña de Vacunación Antigripal para el año 2018 se desarrollará entre el 25 de octubre y el 29 de diciembre de 2018</w:t>
      </w:r>
      <w:r w:rsidRPr="00AA05EA">
        <w:rPr>
          <w:rStyle w:val="Textoennegrita"/>
          <w:rFonts w:ascii="Century Gothic" w:hAnsi="Century Gothic"/>
          <w:b w:val="0"/>
        </w:rPr>
        <w:t>,</w:t>
      </w:r>
      <w:r w:rsidR="00AA05EA">
        <w:rPr>
          <w:rStyle w:val="Textoennegrita"/>
          <w:rFonts w:ascii="Century Gothic" w:hAnsi="Century Gothic"/>
          <w:b w:val="0"/>
        </w:rPr>
        <w:t xml:space="preserve"> </w:t>
      </w:r>
      <w:r w:rsidRPr="00AA05EA">
        <w:rPr>
          <w:rStyle w:val="Textoennegrita"/>
          <w:rFonts w:ascii="Century Gothic" w:hAnsi="Century Gothic"/>
          <w:b w:val="0"/>
        </w:rPr>
        <w:t>pudiendo prolongarse a demanda en función de la situación epidemiológica.</w:t>
      </w:r>
    </w:p>
    <w:p w:rsidR="00C35FD1" w:rsidRPr="00C35FD1" w:rsidRDefault="00C35FD1" w:rsidP="00C35FD1">
      <w:pPr>
        <w:autoSpaceDE w:val="0"/>
        <w:spacing w:before="240" w:after="0" w:line="240" w:lineRule="auto"/>
        <w:jc w:val="both"/>
        <w:rPr>
          <w:rFonts w:ascii="Century Gothic" w:eastAsia="CenturyGothic" w:hAnsi="Century Gothic" w:cs="Arial"/>
        </w:rPr>
      </w:pPr>
      <w:r w:rsidRPr="00C35FD1">
        <w:rPr>
          <w:rFonts w:ascii="Century Gothic" w:eastAsia="CenturyGothic" w:hAnsi="Century Gothic" w:cs="Arial"/>
        </w:rPr>
        <w:t>En cualquier caso, no se debe denegar la vacunación si alguna persona perteneciente a la población diana acude fuera de la época de la campaña y aún existen vacunas disponibles en el punto de vacunación.</w:t>
      </w:r>
    </w:p>
    <w:p w:rsidR="00DD7D70" w:rsidRPr="00E8124E" w:rsidRDefault="00DD7D70">
      <w:pPr>
        <w:autoSpaceDE w:val="0"/>
        <w:spacing w:after="0" w:line="240" w:lineRule="auto"/>
        <w:jc w:val="both"/>
        <w:rPr>
          <w:rFonts w:ascii="Century Gothic" w:eastAsia="CenturyGothic" w:hAnsi="Century Gothic" w:cs="CenturyGothic"/>
          <w:b/>
          <w:bCs/>
          <w:color w:val="FF0000"/>
        </w:rPr>
      </w:pPr>
    </w:p>
    <w:p w:rsidR="00DD7D70" w:rsidRPr="00614F58" w:rsidRDefault="00FB7FB7">
      <w:pPr>
        <w:autoSpaceDE w:val="0"/>
        <w:spacing w:after="0" w:line="240" w:lineRule="auto"/>
        <w:jc w:val="both"/>
        <w:rPr>
          <w:rFonts w:ascii="Century Gothic" w:eastAsia="CenturyGothic" w:hAnsi="Century Gothic" w:cs="Arial"/>
          <w:b/>
          <w:bCs/>
          <w:color w:val="2E74B5" w:themeColor="accent1" w:themeShade="BF"/>
          <w:sz w:val="28"/>
          <w:szCs w:val="28"/>
        </w:rPr>
      </w:pPr>
      <w:r w:rsidRPr="005622BA">
        <w:rPr>
          <w:rFonts w:ascii="Century Gothic" w:eastAsia="CenturyGothic" w:hAnsi="Century Gothic" w:cs="Arial"/>
          <w:b/>
          <w:bCs/>
          <w:color w:val="0070C0"/>
          <w:sz w:val="28"/>
          <w:szCs w:val="28"/>
        </w:rPr>
        <w:lastRenderedPageBreak/>
        <w:t>1.2</w:t>
      </w:r>
      <w:r w:rsidR="00004D90" w:rsidRPr="005622BA">
        <w:rPr>
          <w:rFonts w:ascii="Century Gothic" w:eastAsia="CenturyGothic" w:hAnsi="Century Gothic" w:cs="Arial"/>
          <w:b/>
          <w:bCs/>
          <w:color w:val="0070C0"/>
          <w:sz w:val="28"/>
          <w:szCs w:val="28"/>
        </w:rPr>
        <w:t xml:space="preserve"> Programa </w:t>
      </w:r>
      <w:r w:rsidR="00DD7D70" w:rsidRPr="00614F58">
        <w:rPr>
          <w:rFonts w:ascii="Century Gothic" w:eastAsia="CenturyGothic" w:hAnsi="Century Gothic" w:cs="Arial"/>
          <w:b/>
          <w:bCs/>
          <w:color w:val="2E74B5" w:themeColor="accent1" w:themeShade="BF"/>
          <w:sz w:val="28"/>
          <w:szCs w:val="28"/>
        </w:rPr>
        <w:t>Oficial de Vacunación de Cantabria</w:t>
      </w:r>
    </w:p>
    <w:p w:rsidR="00DD7D70" w:rsidRDefault="00DD7D70">
      <w:pPr>
        <w:autoSpaceDE w:val="0"/>
        <w:spacing w:after="0" w:line="240" w:lineRule="auto"/>
        <w:jc w:val="both"/>
        <w:rPr>
          <w:rFonts w:ascii="Century Gothic" w:eastAsia="CenturyGothic" w:hAnsi="Century Gothic" w:cs="Arial"/>
          <w:b/>
          <w:bCs/>
          <w:sz w:val="28"/>
          <w:szCs w:val="28"/>
        </w:rPr>
      </w:pPr>
    </w:p>
    <w:p w:rsidR="00DD7D70" w:rsidRDefault="00DD7D70">
      <w:pPr>
        <w:autoSpaceDE w:val="0"/>
        <w:spacing w:after="0" w:line="240" w:lineRule="auto"/>
        <w:jc w:val="both"/>
        <w:rPr>
          <w:rFonts w:ascii="Century Gothic" w:eastAsia="CenturyGothic" w:hAnsi="Century Gothic" w:cs="Arial"/>
          <w:bCs/>
        </w:rPr>
      </w:pPr>
      <w:r>
        <w:rPr>
          <w:rFonts w:ascii="Century Gothic" w:eastAsia="CenturyGothic" w:hAnsi="Century Gothic" w:cs="Arial"/>
          <w:bCs/>
        </w:rPr>
        <w:t>La vacuna frente a la gripe está incluida en el</w:t>
      </w:r>
      <w:r w:rsidR="00004D90">
        <w:rPr>
          <w:rFonts w:ascii="Century Gothic" w:eastAsia="CenturyGothic" w:hAnsi="Century Gothic" w:cs="Arial"/>
          <w:bCs/>
          <w:u w:val="single"/>
        </w:rPr>
        <w:t xml:space="preserve"> </w:t>
      </w:r>
      <w:r w:rsidR="00004D90" w:rsidRPr="00004D90">
        <w:rPr>
          <w:rFonts w:ascii="Century Gothic" w:eastAsia="CenturyGothic" w:hAnsi="Century Gothic" w:cs="Arial"/>
          <w:b/>
          <w:bCs/>
        </w:rPr>
        <w:t>Programa de Vacunaciones</w:t>
      </w:r>
      <w:r w:rsidRPr="00004D90">
        <w:rPr>
          <w:rFonts w:ascii="Century Gothic" w:eastAsia="CenturyGothic" w:hAnsi="Century Gothic" w:cs="Arial"/>
          <w:b/>
          <w:bCs/>
        </w:rPr>
        <w:t xml:space="preserve"> de Cantabria,</w:t>
      </w:r>
      <w:r>
        <w:rPr>
          <w:rFonts w:ascii="Century Gothic" w:eastAsia="CenturyGothic" w:hAnsi="Century Gothic" w:cs="Arial"/>
          <w:bCs/>
        </w:rPr>
        <w:t xml:space="preserve"> indicada en todas las personas mayores de 60 años y en mujeres embarazadas, con periodicidad anual.</w:t>
      </w:r>
    </w:p>
    <w:p w:rsidR="00DD7D70" w:rsidRDefault="00DD7D70">
      <w:pPr>
        <w:autoSpaceDE w:val="0"/>
        <w:spacing w:after="0" w:line="240" w:lineRule="auto"/>
        <w:jc w:val="both"/>
        <w:rPr>
          <w:rFonts w:ascii="Century Gothic" w:eastAsia="CenturyGothic" w:hAnsi="Century Gothic" w:cs="Arial"/>
          <w:bCs/>
        </w:rPr>
      </w:pPr>
    </w:p>
    <w:p w:rsidR="00DD7D70" w:rsidRDefault="00B61453">
      <w:pPr>
        <w:autoSpaceDE w:val="0"/>
        <w:spacing w:after="0" w:line="240" w:lineRule="auto"/>
        <w:jc w:val="both"/>
        <w:rPr>
          <w:rFonts w:ascii="Century Gothic" w:eastAsia="CenturyGothic" w:hAnsi="Century Gothic" w:cs="Arial"/>
          <w:b/>
          <w:bCs/>
          <w:color w:val="1F497D"/>
        </w:rPr>
      </w:pPr>
      <w:r>
        <w:rPr>
          <w:rFonts w:ascii="Century Gothic" w:eastAsia="CenturyGothic" w:hAnsi="Century Gothic" w:cs="Arial"/>
          <w:b/>
          <w:bCs/>
          <w:noProof/>
          <w:lang w:eastAsia="es-ES"/>
        </w:rPr>
        <w:drawing>
          <wp:inline distT="0" distB="0" distL="0" distR="0">
            <wp:extent cx="5413375" cy="4089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30894"/>
                    <a:stretch>
                      <a:fillRect/>
                    </a:stretch>
                  </pic:blipFill>
                  <pic:spPr bwMode="auto">
                    <a:xfrm>
                      <a:off x="0" y="0"/>
                      <a:ext cx="5413375" cy="4089400"/>
                    </a:xfrm>
                    <a:prstGeom prst="rect">
                      <a:avLst/>
                    </a:prstGeom>
                    <a:solidFill>
                      <a:srgbClr val="FFFFFF"/>
                    </a:solidFill>
                    <a:ln>
                      <a:noFill/>
                    </a:ln>
                  </pic:spPr>
                </pic:pic>
              </a:graphicData>
            </a:graphic>
          </wp:inline>
        </w:drawing>
      </w:r>
    </w:p>
    <w:p w:rsidR="00DD7D70" w:rsidRDefault="00DD7D70">
      <w:pPr>
        <w:autoSpaceDE w:val="0"/>
        <w:spacing w:after="0" w:line="240" w:lineRule="auto"/>
        <w:jc w:val="both"/>
        <w:rPr>
          <w:rFonts w:ascii="Century Gothic" w:eastAsia="CenturyGothic" w:hAnsi="Century Gothic" w:cs="Arial"/>
          <w:b/>
          <w:bCs/>
          <w:color w:val="1F497D"/>
        </w:rPr>
      </w:pPr>
    </w:p>
    <w:p w:rsidR="00DD7D70" w:rsidRDefault="00DD7D70">
      <w:pPr>
        <w:autoSpaceDE w:val="0"/>
        <w:spacing w:after="0" w:line="240" w:lineRule="auto"/>
        <w:jc w:val="both"/>
        <w:rPr>
          <w:rFonts w:ascii="Century Gothic" w:eastAsia="CenturyGothic" w:hAnsi="Century Gothic" w:cs="Arial"/>
          <w:b/>
          <w:bCs/>
          <w:color w:val="1F497D"/>
        </w:rPr>
      </w:pPr>
    </w:p>
    <w:p w:rsidR="00FB7FB7" w:rsidRPr="00D3084F" w:rsidRDefault="00FB7FB7" w:rsidP="00FB7FB7">
      <w:pPr>
        <w:autoSpaceDE w:val="0"/>
        <w:spacing w:after="0" w:line="240" w:lineRule="auto"/>
        <w:jc w:val="both"/>
        <w:rPr>
          <w:rFonts w:ascii="Century Gothic" w:eastAsia="CenturyGothic" w:hAnsi="Century Gothic" w:cs="Arial"/>
          <w:color w:val="2E74B5" w:themeColor="accent1" w:themeShade="BF"/>
        </w:rPr>
      </w:pPr>
      <w:r>
        <w:rPr>
          <w:rFonts w:ascii="Century Gothic" w:eastAsia="CenturyGothic" w:hAnsi="Century Gothic" w:cs="Arial"/>
          <w:b/>
          <w:bCs/>
          <w:color w:val="2E74B5" w:themeColor="accent1" w:themeShade="BF"/>
          <w:sz w:val="28"/>
          <w:szCs w:val="28"/>
        </w:rPr>
        <w:t>1.3 Composición</w:t>
      </w:r>
      <w:r w:rsidR="005622BA">
        <w:rPr>
          <w:rFonts w:ascii="Century Gothic" w:eastAsia="CenturyGothic" w:hAnsi="Century Gothic" w:cs="Arial"/>
          <w:b/>
          <w:bCs/>
          <w:color w:val="2E74B5" w:themeColor="accent1" w:themeShade="BF"/>
          <w:sz w:val="28"/>
          <w:szCs w:val="28"/>
        </w:rPr>
        <w:t xml:space="preserve"> </w:t>
      </w:r>
    </w:p>
    <w:p w:rsidR="00FB7FB7" w:rsidRDefault="00FB7FB7" w:rsidP="00FB7FB7">
      <w:pPr>
        <w:autoSpaceDE w:val="0"/>
        <w:spacing w:before="240" w:after="0" w:line="240" w:lineRule="auto"/>
        <w:jc w:val="both"/>
        <w:rPr>
          <w:rFonts w:ascii="Century Gothic" w:hAnsi="Century Gothic" w:cs="Arial"/>
        </w:rPr>
      </w:pPr>
      <w:r w:rsidRPr="00D22CE3">
        <w:rPr>
          <w:rFonts w:ascii="Century Gothic" w:hAnsi="Century Gothic" w:cs="Arial"/>
        </w:rPr>
        <w:t>El virus de la gripe humana muta constantemente, por lo que, además de actualizar cada año la vacuna, son necesarias, al menos dos semanas tras la vacunación, para que se desarrolle la inmunidad. La vacunación, cuya efectividad aumenta con la administración continuada todos los años, sigue siendo la única medid</w:t>
      </w:r>
      <w:r>
        <w:rPr>
          <w:rFonts w:ascii="Century Gothic" w:hAnsi="Century Gothic" w:cs="Arial"/>
        </w:rPr>
        <w:t>a preventiva frente a la gripe.</w:t>
      </w:r>
    </w:p>
    <w:p w:rsidR="00FB7FB7" w:rsidRPr="00D22CE3" w:rsidRDefault="00FB7FB7" w:rsidP="00FB7FB7">
      <w:pPr>
        <w:autoSpaceDE w:val="0"/>
        <w:spacing w:before="240" w:after="0" w:line="240" w:lineRule="auto"/>
        <w:jc w:val="both"/>
        <w:rPr>
          <w:rFonts w:ascii="Arial" w:hAnsi="Arial" w:cs="Arial"/>
        </w:rPr>
      </w:pPr>
      <w:r w:rsidRPr="00D22CE3">
        <w:rPr>
          <w:rFonts w:ascii="Century Gothic" w:hAnsi="Century Gothic" w:cs="Arial"/>
        </w:rPr>
        <w:t>La Organización Mundial de la Salud (OMS) ha aprobado, para esta temporada 2018-19, la com</w:t>
      </w:r>
      <w:r w:rsidR="00C35FD1">
        <w:rPr>
          <w:rFonts w:ascii="Century Gothic" w:hAnsi="Century Gothic" w:cs="Arial"/>
        </w:rPr>
        <w:t>posición de la vacuna trivalente</w:t>
      </w:r>
      <w:r w:rsidRPr="00D22CE3">
        <w:rPr>
          <w:rFonts w:ascii="Century Gothic" w:hAnsi="Century Gothic" w:cs="Arial"/>
        </w:rPr>
        <w:t>, para su utilización en el hemisferio norte que debe contener los siguientes componentes:</w:t>
      </w:r>
    </w:p>
    <w:p w:rsidR="00FB7FB7" w:rsidRDefault="00FB7FB7" w:rsidP="00FB7FB7">
      <w:pPr>
        <w:autoSpaceDE w:val="0"/>
        <w:spacing w:after="0" w:line="240" w:lineRule="auto"/>
        <w:jc w:val="both"/>
        <w:rPr>
          <w:rFonts w:ascii="Arial" w:hAnsi="Arial" w:cs="Arial"/>
        </w:rPr>
      </w:pPr>
    </w:p>
    <w:p w:rsidR="00FB7FB7" w:rsidRDefault="00FB7FB7" w:rsidP="00FB7FB7">
      <w:pPr>
        <w:pBdr>
          <w:top w:val="single" w:sz="4" w:space="1" w:color="000000"/>
          <w:left w:val="single" w:sz="4" w:space="4" w:color="000000"/>
          <w:bottom w:val="single" w:sz="4" w:space="1" w:color="000000"/>
          <w:right w:val="single" w:sz="4" w:space="4" w:color="000000"/>
        </w:pBdr>
        <w:spacing w:after="9" w:line="247" w:lineRule="auto"/>
        <w:ind w:left="708" w:right="1213"/>
        <w:jc w:val="both"/>
        <w:rPr>
          <w:rFonts w:ascii="Arial" w:hAnsi="Arial" w:cs="Arial"/>
          <w:b/>
        </w:rPr>
      </w:pPr>
      <w:r>
        <w:rPr>
          <w:rFonts w:ascii="Arial" w:hAnsi="Arial" w:cs="Arial"/>
          <w:b/>
        </w:rPr>
        <w:t xml:space="preserve">cepa análoga a A/Michigan/45/2015 (H1N1) pdm09 </w:t>
      </w:r>
    </w:p>
    <w:p w:rsidR="00FB7FB7" w:rsidRDefault="00FB7FB7" w:rsidP="00FB7FB7">
      <w:pPr>
        <w:pBdr>
          <w:top w:val="single" w:sz="4" w:space="1" w:color="000000"/>
          <w:left w:val="single" w:sz="4" w:space="4" w:color="000000"/>
          <w:bottom w:val="single" w:sz="4" w:space="1" w:color="000000"/>
          <w:right w:val="single" w:sz="4" w:space="4" w:color="000000"/>
        </w:pBdr>
        <w:spacing w:after="0" w:line="247" w:lineRule="auto"/>
        <w:ind w:left="708" w:right="1213"/>
        <w:jc w:val="both"/>
        <w:rPr>
          <w:rFonts w:ascii="Arial" w:hAnsi="Arial" w:cs="Arial"/>
          <w:b/>
        </w:rPr>
      </w:pPr>
      <w:r>
        <w:rPr>
          <w:rFonts w:ascii="Arial" w:hAnsi="Arial" w:cs="Arial"/>
          <w:b/>
        </w:rPr>
        <w:t xml:space="preserve">cepa análoga a A/Singapore/INFIMH-16-0019/2016 (H3N2)  </w:t>
      </w:r>
    </w:p>
    <w:p w:rsidR="00FB7FB7" w:rsidRDefault="00FB7FB7" w:rsidP="00FB7FB7">
      <w:pPr>
        <w:pBdr>
          <w:top w:val="single" w:sz="4" w:space="1" w:color="000000"/>
          <w:left w:val="single" w:sz="4" w:space="4" w:color="000000"/>
          <w:bottom w:val="single" w:sz="4" w:space="1" w:color="000000"/>
          <w:right w:val="single" w:sz="4" w:space="4" w:color="000000"/>
        </w:pBdr>
        <w:spacing w:after="0" w:line="247" w:lineRule="auto"/>
        <w:ind w:left="708" w:right="1213"/>
        <w:jc w:val="both"/>
        <w:rPr>
          <w:rFonts w:ascii="Arial" w:hAnsi="Arial" w:cs="Arial"/>
        </w:rPr>
      </w:pPr>
      <w:r>
        <w:rPr>
          <w:rFonts w:ascii="Arial" w:hAnsi="Arial" w:cs="Arial"/>
          <w:b/>
        </w:rPr>
        <w:t xml:space="preserve">cepa análoga a B/Colorado/06/2017 (linaje B/Victoria/2/87) </w:t>
      </w:r>
    </w:p>
    <w:p w:rsidR="00FB7FB7" w:rsidRDefault="00FB7FB7" w:rsidP="00FB7FB7">
      <w:pPr>
        <w:spacing w:after="9" w:line="247" w:lineRule="auto"/>
        <w:ind w:right="1213"/>
        <w:jc w:val="both"/>
        <w:rPr>
          <w:rFonts w:ascii="Arial" w:hAnsi="Arial" w:cs="Arial"/>
        </w:rPr>
      </w:pPr>
    </w:p>
    <w:p w:rsidR="00FB7FB7" w:rsidRPr="00D22CE3" w:rsidRDefault="00FB7FB7" w:rsidP="00FB7FB7">
      <w:pPr>
        <w:autoSpaceDE w:val="0"/>
        <w:spacing w:after="0" w:line="240" w:lineRule="auto"/>
        <w:jc w:val="both"/>
      </w:pPr>
      <w:r w:rsidRPr="00D22CE3">
        <w:rPr>
          <w:rFonts w:ascii="Century Gothic" w:hAnsi="Century Gothic" w:cs="Arial"/>
        </w:rPr>
        <w:t>En dicha vacuna se han introducido los siguientes cambios con respecto a la vacuna utilizada en la temporada anterior:</w:t>
      </w:r>
    </w:p>
    <w:p w:rsidR="00FB7FB7" w:rsidRPr="00D22CE3" w:rsidRDefault="00FB7FB7" w:rsidP="00FB7FB7">
      <w:pPr>
        <w:autoSpaceDE w:val="0"/>
        <w:spacing w:after="0" w:line="240" w:lineRule="auto"/>
        <w:jc w:val="both"/>
      </w:pPr>
    </w:p>
    <w:p w:rsidR="00FB7FB7" w:rsidRPr="00D22CE3" w:rsidRDefault="00FB7FB7" w:rsidP="00FB7FB7">
      <w:pPr>
        <w:numPr>
          <w:ilvl w:val="0"/>
          <w:numId w:val="29"/>
        </w:numPr>
        <w:autoSpaceDE w:val="0"/>
        <w:spacing w:after="0" w:line="240" w:lineRule="auto"/>
        <w:jc w:val="both"/>
        <w:rPr>
          <w:rFonts w:ascii="Century Gothic" w:hAnsi="Century Gothic" w:cs="Arial"/>
        </w:rPr>
      </w:pPr>
      <w:r w:rsidRPr="00D22CE3">
        <w:rPr>
          <w:rFonts w:ascii="Century Gothic" w:hAnsi="Century Gothic" w:cs="Arial"/>
        </w:rPr>
        <w:t xml:space="preserve">El componente A(H3N2), que anteriormente era </w:t>
      </w:r>
      <w:r w:rsidRPr="00D22CE3">
        <w:rPr>
          <w:rFonts w:ascii="Century Gothic" w:hAnsi="Century Gothic" w:cs="Arial"/>
          <w:bCs/>
        </w:rPr>
        <w:t>cepa A/Hong Kong/4801/2014</w:t>
      </w:r>
      <w:r w:rsidRPr="00D22CE3">
        <w:rPr>
          <w:rFonts w:ascii="Century Gothic" w:hAnsi="Century Gothic" w:cs="Arial"/>
        </w:rPr>
        <w:t>, se ha sustituido por A/Singapore/INFIMH-16-0019/2016.</w:t>
      </w:r>
    </w:p>
    <w:p w:rsidR="00FB7FB7" w:rsidRPr="00D22CE3" w:rsidRDefault="00FB7FB7" w:rsidP="00FB7FB7">
      <w:pPr>
        <w:numPr>
          <w:ilvl w:val="0"/>
          <w:numId w:val="29"/>
        </w:numPr>
        <w:autoSpaceDE w:val="0"/>
        <w:spacing w:after="0" w:line="240" w:lineRule="auto"/>
        <w:jc w:val="both"/>
        <w:rPr>
          <w:rFonts w:ascii="Century Gothic" w:hAnsi="Century Gothic" w:cs="Arial"/>
        </w:rPr>
      </w:pPr>
      <w:r w:rsidRPr="00D22CE3">
        <w:rPr>
          <w:rFonts w:ascii="Century Gothic" w:hAnsi="Century Gothic" w:cs="Arial"/>
        </w:rPr>
        <w:t xml:space="preserve">El componente B, que en la campaña anterior fue </w:t>
      </w:r>
      <w:r w:rsidRPr="00D22CE3">
        <w:rPr>
          <w:rFonts w:ascii="Century Gothic" w:hAnsi="Century Gothic" w:cs="Arial"/>
          <w:bCs/>
        </w:rPr>
        <w:t>cepa B/Brisbane/60/2008, se sustituye por B/Colorado/06/2017 (linaje B/Victoria/2/87).</w:t>
      </w:r>
    </w:p>
    <w:p w:rsidR="00DD7D70" w:rsidRDefault="00DD7D70">
      <w:pPr>
        <w:autoSpaceDE w:val="0"/>
        <w:spacing w:before="240" w:after="0" w:line="240" w:lineRule="auto"/>
        <w:jc w:val="both"/>
        <w:rPr>
          <w:rFonts w:ascii="Century Gothic" w:eastAsia="CenturyGothic" w:hAnsi="Century Gothic" w:cs="Arial"/>
          <w:b/>
          <w:bCs/>
          <w:color w:val="2E74B5" w:themeColor="accent1" w:themeShade="BF"/>
          <w:sz w:val="28"/>
          <w:szCs w:val="28"/>
        </w:rPr>
      </w:pPr>
      <w:r w:rsidRPr="00614F58">
        <w:rPr>
          <w:rFonts w:ascii="Century Gothic" w:eastAsia="CenturyGothic" w:hAnsi="Century Gothic" w:cs="Arial"/>
          <w:b/>
          <w:bCs/>
          <w:color w:val="2E74B5" w:themeColor="accent1" w:themeShade="BF"/>
          <w:sz w:val="28"/>
          <w:szCs w:val="28"/>
        </w:rPr>
        <w:lastRenderedPageBreak/>
        <w:t>1.4 Población diana</w:t>
      </w:r>
    </w:p>
    <w:p w:rsidR="00E8124E" w:rsidRPr="00626F1A" w:rsidRDefault="00FB7FB7">
      <w:pPr>
        <w:autoSpaceDE w:val="0"/>
        <w:spacing w:before="240" w:after="0" w:line="240" w:lineRule="auto"/>
        <w:jc w:val="both"/>
        <w:rPr>
          <w:rFonts w:ascii="Century Gothic" w:eastAsia="CenturyGothic" w:hAnsi="Century Gothic" w:cs="Arial"/>
          <w:bCs/>
        </w:rPr>
      </w:pPr>
      <w:r w:rsidRPr="00626F1A">
        <w:rPr>
          <w:rFonts w:ascii="Century Gothic" w:eastAsia="CenturyGothic" w:hAnsi="Century Gothic" w:cs="Arial"/>
          <w:bCs/>
        </w:rPr>
        <w:t>Las recomendaciones de</w:t>
      </w:r>
      <w:r w:rsidR="00DD7D70" w:rsidRPr="00626F1A">
        <w:rPr>
          <w:rFonts w:ascii="Century Gothic" w:eastAsia="CenturyGothic" w:hAnsi="Century Gothic" w:cs="Arial"/>
          <w:bCs/>
        </w:rPr>
        <w:t xml:space="preserve"> vacunación</w:t>
      </w:r>
      <w:r w:rsidRPr="00626F1A">
        <w:rPr>
          <w:rFonts w:ascii="Century Gothic" w:eastAsia="CenturyGothic" w:hAnsi="Century Gothic" w:cs="Arial"/>
          <w:bCs/>
        </w:rPr>
        <w:t xml:space="preserve"> se establecen para</w:t>
      </w:r>
      <w:r w:rsidR="00DD7D70" w:rsidRPr="00626F1A">
        <w:rPr>
          <w:rFonts w:ascii="Century Gothic" w:eastAsia="CenturyGothic" w:hAnsi="Century Gothic" w:cs="Arial"/>
          <w:bCs/>
        </w:rPr>
        <w:t xml:space="preserve"> los siguientes grupos de población en esta campaña 2018-19</w:t>
      </w:r>
      <w:r w:rsidR="00C35FD1">
        <w:rPr>
          <w:rFonts w:ascii="Century Gothic" w:eastAsia="CenturyGothic" w:hAnsi="Century Gothic" w:cs="Arial"/>
          <w:bCs/>
        </w:rPr>
        <w:t>:</w:t>
      </w:r>
      <w:r w:rsidRPr="00626F1A">
        <w:rPr>
          <w:rFonts w:ascii="Century Gothic" w:eastAsia="CenturyGothic" w:hAnsi="Century Gothic" w:cs="Arial"/>
          <w:bCs/>
        </w:rPr>
        <w:t xml:space="preserve"> </w:t>
      </w:r>
    </w:p>
    <w:p w:rsidR="00DD7D70" w:rsidRPr="00626F1A" w:rsidRDefault="00DD7D70">
      <w:pPr>
        <w:autoSpaceDE w:val="0"/>
        <w:spacing w:before="240" w:after="0" w:line="240" w:lineRule="auto"/>
        <w:jc w:val="both"/>
        <w:rPr>
          <w:rFonts w:ascii="Century Gothic" w:eastAsia="CenturyGothic" w:hAnsi="Century Gothic" w:cs="Arial"/>
          <w:b/>
          <w:bCs/>
        </w:rPr>
      </w:pPr>
      <w:r w:rsidRPr="00626F1A">
        <w:rPr>
          <w:rFonts w:ascii="Century Gothic" w:eastAsia="CenturyGothic" w:hAnsi="Century Gothic" w:cs="Arial"/>
          <w:b/>
          <w:bCs/>
        </w:rPr>
        <w:t>1. Todas las personas mayores de 60 años.</w:t>
      </w:r>
    </w:p>
    <w:p w:rsidR="00DD7D70" w:rsidRPr="00626F1A" w:rsidRDefault="00DD7D70">
      <w:pPr>
        <w:autoSpaceDE w:val="0"/>
        <w:spacing w:before="240" w:after="0" w:line="240" w:lineRule="auto"/>
        <w:jc w:val="both"/>
        <w:rPr>
          <w:rFonts w:ascii="Century Gothic" w:eastAsia="CenturyGothic" w:hAnsi="Century Gothic" w:cs="Arial"/>
          <w:b/>
          <w:bCs/>
        </w:rPr>
      </w:pPr>
      <w:r w:rsidRPr="00626F1A">
        <w:rPr>
          <w:rFonts w:ascii="Century Gothic" w:eastAsia="CenturyGothic" w:hAnsi="Century Gothic" w:cs="Arial"/>
          <w:b/>
          <w:bCs/>
        </w:rPr>
        <w:t>2. Personas menores de 60 años con alto riesgo de complicaciones en caso de contraer la enfermedad</w:t>
      </w:r>
      <w:r w:rsidRPr="00626F1A">
        <w:rPr>
          <w:rFonts w:ascii="Century Gothic" w:eastAsia="CenturyGothic" w:hAnsi="Century Gothic" w:cs="Arial"/>
        </w:rPr>
        <w:t>:</w:t>
      </w:r>
    </w:p>
    <w:p w:rsidR="00DD7D70" w:rsidRPr="00626F1A" w:rsidRDefault="00DD7D70">
      <w:pPr>
        <w:numPr>
          <w:ilvl w:val="0"/>
          <w:numId w:val="30"/>
        </w:numPr>
        <w:autoSpaceDE w:val="0"/>
        <w:spacing w:before="240" w:after="0" w:line="240" w:lineRule="auto"/>
        <w:jc w:val="both"/>
        <w:rPr>
          <w:rFonts w:ascii="Century Gothic" w:eastAsia="CenturyGothic" w:hAnsi="Century Gothic" w:cs="Arial"/>
        </w:rPr>
      </w:pPr>
      <w:r w:rsidRPr="00626F1A">
        <w:rPr>
          <w:rFonts w:ascii="Century Gothic" w:eastAsia="CenturyGothic" w:hAnsi="Century Gothic" w:cs="Arial"/>
          <w:b/>
          <w:bCs/>
        </w:rPr>
        <w:t>Niños/as mayores de 6 meses y adultos con</w:t>
      </w:r>
      <w:r w:rsidRPr="00626F1A">
        <w:rPr>
          <w:rFonts w:ascii="Century Gothic" w:eastAsia="CenturyGothic" w:hAnsi="Century Gothic" w:cs="Arial"/>
        </w:rPr>
        <w:t>:</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enfermedades crónicas cardiovasculares (excepto hipertensión arterial aislada),</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enfermedades pulmonares crónicas, incluidas displasia bronco-pulmonar, fibrosis quística y asma,</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enfermedades metabólicas, incluida diabetes mellitus,</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obesidad mórbida (índice de masa corporal ≥40 en adultos, ≥35 en adolescentes o ≥3 DS en la infancia),</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insuficiencia renal,</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hemoglobinopatías y anemias,</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asplenia,</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enfermedad hepática crónica,</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enfermedades neurológicas y neuromusculares graves,</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inmunosupresión (incluida la originada por la infección por VIH, por fármacos o en los receptores de trasplantes),</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cáncer y hemopatías malignas,</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fístula de líquido cefalorraquídeo,</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enfermedad celíaca,</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enfermedad inflamatoria crónica,</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implante coclear o en espera del mismo</w:t>
      </w:r>
    </w:p>
    <w:p w:rsidR="00DD7D70" w:rsidRPr="00626F1A" w:rsidRDefault="00DD7D70">
      <w:pPr>
        <w:numPr>
          <w:ilvl w:val="0"/>
          <w:numId w:val="26"/>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trastornos y enfermedades que conllevan disfunción cognitiva: síndrome de Down, demencias y otras,</w:t>
      </w:r>
    </w:p>
    <w:p w:rsidR="00DD7D70" w:rsidRPr="00626F1A" w:rsidRDefault="00DD7D70">
      <w:pPr>
        <w:autoSpaceDE w:val="0"/>
        <w:spacing w:after="0" w:line="240" w:lineRule="auto"/>
        <w:jc w:val="both"/>
        <w:rPr>
          <w:rFonts w:ascii="Century Gothic" w:eastAsia="CenturyGothic" w:hAnsi="Century Gothic" w:cs="Arial"/>
          <w:b/>
        </w:rPr>
      </w:pPr>
      <w:r w:rsidRPr="00626F1A">
        <w:rPr>
          <w:rFonts w:ascii="Century Gothic" w:eastAsia="CenturyGothic" w:hAnsi="Century Gothic" w:cs="Arial"/>
        </w:rPr>
        <w:t xml:space="preserve">Se hará un especial énfasis en aquellas personas que precisen seguimiento médico periódico o que hayan sido hospitalizadas en el año precedente. </w:t>
      </w:r>
    </w:p>
    <w:p w:rsidR="00DD7D70" w:rsidRPr="00626F1A" w:rsidRDefault="00DD7D70">
      <w:pPr>
        <w:numPr>
          <w:ilvl w:val="0"/>
          <w:numId w:val="30"/>
        </w:numPr>
        <w:autoSpaceDE w:val="0"/>
        <w:spacing w:before="240" w:after="0" w:line="240" w:lineRule="auto"/>
        <w:jc w:val="both"/>
        <w:rPr>
          <w:rFonts w:ascii="Century Gothic" w:eastAsia="CenturyGothic" w:hAnsi="Century Gothic" w:cs="Arial"/>
          <w:b/>
        </w:rPr>
      </w:pPr>
      <w:r w:rsidRPr="00626F1A">
        <w:rPr>
          <w:rFonts w:ascii="Century Gothic" w:eastAsia="CenturyGothic" w:hAnsi="Century Gothic" w:cs="Arial"/>
          <w:b/>
        </w:rPr>
        <w:t>Niños/as y adolescentes (desde 6 meses a 18 años) que reciben tratamiento prolongado con ácido acetilsalicílico, por la posibilidad de desarrollar un síndrome de Reye tras la gripe.</w:t>
      </w:r>
    </w:p>
    <w:p w:rsidR="00DD7D70" w:rsidRPr="00626F1A" w:rsidRDefault="00DD7D70">
      <w:pPr>
        <w:numPr>
          <w:ilvl w:val="0"/>
          <w:numId w:val="30"/>
        </w:numPr>
        <w:autoSpaceDE w:val="0"/>
        <w:spacing w:before="240" w:after="0" w:line="240" w:lineRule="auto"/>
        <w:jc w:val="both"/>
        <w:rPr>
          <w:rFonts w:ascii="Century Gothic" w:eastAsia="CenturyGothic" w:hAnsi="Century Gothic" w:cs="Arial"/>
          <w:b/>
          <w:bCs/>
        </w:rPr>
      </w:pPr>
      <w:r w:rsidRPr="00626F1A">
        <w:rPr>
          <w:rFonts w:ascii="Century Gothic" w:eastAsia="CenturyGothic" w:hAnsi="Century Gothic" w:cs="Arial"/>
          <w:b/>
        </w:rPr>
        <w:t>Mujeres embarazadas en cualquier trimestre de gestación.</w:t>
      </w:r>
    </w:p>
    <w:p w:rsidR="00DD7D70" w:rsidRPr="00626F1A" w:rsidRDefault="00DD7D70">
      <w:pPr>
        <w:autoSpaceDE w:val="0"/>
        <w:spacing w:before="240" w:after="0" w:line="240" w:lineRule="auto"/>
        <w:jc w:val="both"/>
        <w:rPr>
          <w:rFonts w:ascii="Century Gothic" w:eastAsia="CenturyGothic" w:hAnsi="Century Gothic" w:cs="Arial"/>
        </w:rPr>
      </w:pPr>
      <w:r w:rsidRPr="00626F1A">
        <w:rPr>
          <w:rFonts w:ascii="Century Gothic" w:eastAsia="CenturyGothic" w:hAnsi="Century Gothic" w:cs="Arial"/>
          <w:b/>
          <w:bCs/>
        </w:rPr>
        <w:t>3. Personas que pueden transmitir la gripe a aquellas que tienen un alto riesgo de presentar complicaciones en caso de padecerla:</w:t>
      </w:r>
    </w:p>
    <w:p w:rsidR="00DD7D70" w:rsidRPr="00626F1A" w:rsidRDefault="00DD7D70">
      <w:pPr>
        <w:numPr>
          <w:ilvl w:val="0"/>
          <w:numId w:val="18"/>
        </w:numPr>
        <w:autoSpaceDE w:val="0"/>
        <w:spacing w:before="240" w:after="0" w:line="240" w:lineRule="auto"/>
        <w:jc w:val="both"/>
        <w:rPr>
          <w:rFonts w:ascii="Century Gothic" w:eastAsia="CenturyGothic" w:hAnsi="Century Gothic" w:cs="Arial"/>
        </w:rPr>
      </w:pPr>
      <w:r w:rsidRPr="00626F1A">
        <w:rPr>
          <w:rFonts w:ascii="Century Gothic" w:eastAsia="CenturyGothic" w:hAnsi="Century Gothic" w:cs="Arial"/>
        </w:rPr>
        <w:t xml:space="preserve">Trabajadores de centros, servicios y establecimientos sanitarios de atención primaria y hospitalaria, tanto pública como privada. </w:t>
      </w:r>
    </w:p>
    <w:p w:rsidR="00DD7D70" w:rsidRPr="00626F1A" w:rsidRDefault="00DD7D70">
      <w:pPr>
        <w:numPr>
          <w:ilvl w:val="0"/>
          <w:numId w:val="18"/>
        </w:numPr>
        <w:autoSpaceDE w:val="0"/>
        <w:spacing w:before="240" w:after="0" w:line="240" w:lineRule="auto"/>
        <w:jc w:val="both"/>
        <w:rPr>
          <w:rFonts w:ascii="Century Gothic" w:eastAsia="CenturyGothic" w:hAnsi="Century Gothic" w:cs="Arial"/>
        </w:rPr>
      </w:pPr>
      <w:r w:rsidRPr="00626F1A">
        <w:rPr>
          <w:rFonts w:ascii="Century Gothic" w:eastAsia="CenturyGothic" w:hAnsi="Century Gothic" w:cs="Arial"/>
        </w:rPr>
        <w:t xml:space="preserve">Personas que trabajan en instituciones geriátricas o en centros de </w:t>
      </w:r>
      <w:r w:rsidR="00FB7FB7" w:rsidRPr="00626F1A">
        <w:rPr>
          <w:rFonts w:ascii="Century Gothic" w:eastAsia="CenturyGothic" w:hAnsi="Century Gothic" w:cs="Arial"/>
        </w:rPr>
        <w:t xml:space="preserve">atención a enfermos crónicos. </w:t>
      </w:r>
    </w:p>
    <w:p w:rsidR="00DD7D70" w:rsidRPr="00626F1A" w:rsidRDefault="00DD7D70">
      <w:pPr>
        <w:numPr>
          <w:ilvl w:val="0"/>
          <w:numId w:val="18"/>
        </w:numPr>
        <w:autoSpaceDE w:val="0"/>
        <w:spacing w:before="240" w:after="0" w:line="240" w:lineRule="auto"/>
        <w:jc w:val="both"/>
        <w:rPr>
          <w:rFonts w:ascii="Century Gothic" w:eastAsia="CenturyGothic" w:hAnsi="Century Gothic" w:cs="Arial"/>
        </w:rPr>
      </w:pPr>
      <w:r w:rsidRPr="00626F1A">
        <w:rPr>
          <w:rFonts w:ascii="Century Gothic" w:eastAsia="CenturyGothic" w:hAnsi="Century Gothic" w:cs="Arial"/>
        </w:rPr>
        <w:t>Estudiantes en prácticas en centros sanitarios.</w:t>
      </w:r>
    </w:p>
    <w:p w:rsidR="00DD7D70" w:rsidRPr="00626F1A" w:rsidRDefault="00DD7D70">
      <w:pPr>
        <w:numPr>
          <w:ilvl w:val="0"/>
          <w:numId w:val="18"/>
        </w:numPr>
        <w:autoSpaceDE w:val="0"/>
        <w:spacing w:before="240" w:after="0" w:line="240" w:lineRule="auto"/>
        <w:jc w:val="both"/>
        <w:rPr>
          <w:rFonts w:ascii="Century Gothic" w:eastAsia="CenturyGothic" w:hAnsi="Century Gothic" w:cs="Arial"/>
        </w:rPr>
      </w:pPr>
      <w:r w:rsidRPr="00626F1A">
        <w:rPr>
          <w:rFonts w:ascii="Century Gothic" w:eastAsia="CenturyGothic" w:hAnsi="Century Gothic" w:cs="Arial"/>
        </w:rPr>
        <w:t>Personas que proporcionen cuidados domiciliarios a pacientes de alto riesgo o mayores.</w:t>
      </w:r>
    </w:p>
    <w:p w:rsidR="00DD7D70" w:rsidRPr="00626F1A" w:rsidRDefault="00DD7D70">
      <w:pPr>
        <w:numPr>
          <w:ilvl w:val="0"/>
          <w:numId w:val="18"/>
        </w:numPr>
        <w:autoSpaceDE w:val="0"/>
        <w:spacing w:before="240" w:after="0" w:line="240" w:lineRule="auto"/>
        <w:jc w:val="both"/>
        <w:rPr>
          <w:rFonts w:ascii="Century Gothic" w:eastAsia="CenturyGothic" w:hAnsi="Century Gothic" w:cs="Arial"/>
          <w:b/>
          <w:bCs/>
        </w:rPr>
      </w:pPr>
      <w:r w:rsidRPr="00626F1A">
        <w:rPr>
          <w:rFonts w:ascii="Century Gothic" w:eastAsia="CenturyGothic" w:hAnsi="Century Gothic" w:cs="Arial"/>
        </w:rPr>
        <w:t>Personas que conviven en el hogar, incluidos niños/as mayores de 6 meses, con otras pertenecientes a grupos de alto riesgo (punto 2).</w:t>
      </w:r>
    </w:p>
    <w:p w:rsidR="00DD7D70" w:rsidRPr="00626F1A" w:rsidRDefault="00DD7D70">
      <w:pPr>
        <w:autoSpaceDE w:val="0"/>
        <w:spacing w:before="240" w:after="0" w:line="240" w:lineRule="auto"/>
        <w:jc w:val="both"/>
        <w:rPr>
          <w:rFonts w:ascii="Century Gothic" w:eastAsia="CenturyGothic" w:hAnsi="Century Gothic" w:cs="Arial"/>
          <w:b/>
        </w:rPr>
      </w:pPr>
      <w:r w:rsidRPr="00626F1A">
        <w:rPr>
          <w:rFonts w:ascii="Century Gothic" w:eastAsia="CenturyGothic" w:hAnsi="Century Gothic" w:cs="Arial"/>
          <w:b/>
          <w:bCs/>
        </w:rPr>
        <w:lastRenderedPageBreak/>
        <w:t>4. Otros grupos en los que se recomienda la vacunación</w:t>
      </w:r>
    </w:p>
    <w:p w:rsidR="00DD7D70" w:rsidRPr="00C35FD1" w:rsidRDefault="00DD7D70">
      <w:pPr>
        <w:numPr>
          <w:ilvl w:val="0"/>
          <w:numId w:val="1"/>
        </w:numPr>
        <w:autoSpaceDE w:val="0"/>
        <w:spacing w:before="240" w:after="0" w:line="240" w:lineRule="auto"/>
        <w:jc w:val="both"/>
        <w:rPr>
          <w:rFonts w:ascii="Century Gothic" w:eastAsia="CenturyGothic" w:hAnsi="Century Gothic" w:cs="Arial"/>
        </w:rPr>
      </w:pPr>
      <w:r w:rsidRPr="00626F1A">
        <w:rPr>
          <w:rFonts w:ascii="Century Gothic" w:eastAsia="CenturyGothic" w:hAnsi="Century Gothic" w:cs="Arial"/>
          <w:b/>
        </w:rPr>
        <w:t xml:space="preserve">Personas que trabajan en </w:t>
      </w:r>
      <w:r w:rsidRPr="00626F1A">
        <w:rPr>
          <w:rFonts w:ascii="Century Gothic" w:eastAsia="CenturyGothic" w:hAnsi="Century Gothic" w:cs="Arial"/>
          <w:b/>
          <w:bCs/>
        </w:rPr>
        <w:t>servicios públicos esenciales, con especial énfasis en los siguientes subgrupos:</w:t>
      </w:r>
    </w:p>
    <w:p w:rsidR="00C35FD1" w:rsidRPr="00626F1A" w:rsidRDefault="00C35FD1" w:rsidP="00C35FD1">
      <w:pPr>
        <w:autoSpaceDE w:val="0"/>
        <w:spacing w:before="240" w:after="0" w:line="240" w:lineRule="auto"/>
        <w:ind w:left="720"/>
        <w:jc w:val="both"/>
        <w:rPr>
          <w:rFonts w:ascii="Century Gothic" w:eastAsia="CenturyGothic" w:hAnsi="Century Gothic" w:cs="Arial"/>
        </w:rPr>
      </w:pPr>
    </w:p>
    <w:p w:rsidR="00DD7D70" w:rsidRPr="00626F1A" w:rsidRDefault="00DD7D70">
      <w:pPr>
        <w:numPr>
          <w:ilvl w:val="0"/>
          <w:numId w:val="22"/>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 xml:space="preserve">Fuerzas y cuerpos de seguridad del Estado, con dependencia nacional, autonómica o local. </w:t>
      </w:r>
    </w:p>
    <w:p w:rsidR="00DD7D70" w:rsidRPr="00626F1A" w:rsidRDefault="00DD7D70">
      <w:pPr>
        <w:numPr>
          <w:ilvl w:val="0"/>
          <w:numId w:val="22"/>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 xml:space="preserve">Bomberos. </w:t>
      </w:r>
    </w:p>
    <w:p w:rsidR="00DD7D70" w:rsidRPr="00626F1A" w:rsidRDefault="00DD7D70">
      <w:pPr>
        <w:numPr>
          <w:ilvl w:val="0"/>
          <w:numId w:val="22"/>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 xml:space="preserve">Servicios de protección civil. </w:t>
      </w:r>
    </w:p>
    <w:p w:rsidR="00DD7D70" w:rsidRPr="00626F1A" w:rsidRDefault="00DD7D70">
      <w:pPr>
        <w:numPr>
          <w:ilvl w:val="0"/>
          <w:numId w:val="22"/>
        </w:numPr>
        <w:autoSpaceDE w:val="0"/>
        <w:spacing w:after="0" w:line="240" w:lineRule="auto"/>
        <w:jc w:val="both"/>
        <w:rPr>
          <w:rFonts w:ascii="Century Gothic" w:eastAsia="CenturyGothic" w:hAnsi="Century Gothic" w:cs="Arial"/>
        </w:rPr>
      </w:pPr>
      <w:r w:rsidRPr="00626F1A">
        <w:rPr>
          <w:rFonts w:ascii="Century Gothic" w:eastAsia="CenturyGothic" w:hAnsi="Century Gothic" w:cs="Arial"/>
        </w:rPr>
        <w:t xml:space="preserve">Personas que trabajan en los servicios de emergencias sanitarias. </w:t>
      </w:r>
    </w:p>
    <w:p w:rsidR="00DD7D70" w:rsidRPr="00626F1A" w:rsidRDefault="00DD7D70">
      <w:pPr>
        <w:numPr>
          <w:ilvl w:val="0"/>
          <w:numId w:val="3"/>
        </w:numPr>
        <w:autoSpaceDE w:val="0"/>
        <w:spacing w:after="0" w:line="240" w:lineRule="auto"/>
        <w:jc w:val="both"/>
        <w:rPr>
          <w:rFonts w:ascii="Century Gothic" w:eastAsia="CenturyGothic" w:hAnsi="Century Gothic" w:cs="Arial"/>
          <w:bCs/>
        </w:rPr>
      </w:pPr>
      <w:r w:rsidRPr="00626F1A">
        <w:rPr>
          <w:rFonts w:ascii="Century Gothic" w:eastAsia="CenturyGothic" w:hAnsi="Century Gothic" w:cs="Arial"/>
        </w:rPr>
        <w:t>Trabajadores de instituciones penitenciarias, de otros centros de internamiento por resolución judicial y centros de acogida de inmigrantes.</w:t>
      </w:r>
    </w:p>
    <w:p w:rsidR="00DD7D70" w:rsidRPr="00626F1A" w:rsidRDefault="00DD7D70">
      <w:pPr>
        <w:numPr>
          <w:ilvl w:val="0"/>
          <w:numId w:val="4"/>
        </w:numPr>
        <w:autoSpaceDE w:val="0"/>
        <w:spacing w:before="240" w:after="0" w:line="240" w:lineRule="auto"/>
        <w:jc w:val="both"/>
        <w:rPr>
          <w:rFonts w:ascii="Century Gothic" w:eastAsia="CenturyGothic" w:hAnsi="Century Gothic" w:cs="Arial"/>
          <w:bCs/>
        </w:rPr>
      </w:pPr>
      <w:r w:rsidRPr="00C35FD1">
        <w:rPr>
          <w:rFonts w:ascii="Century Gothic" w:eastAsia="CenturyGothic" w:hAnsi="Century Gothic" w:cs="Arial"/>
          <w:b/>
          <w:bCs/>
        </w:rPr>
        <w:t>Trabajadores expuestos</w:t>
      </w:r>
      <w:r w:rsidRPr="00626F1A">
        <w:rPr>
          <w:rFonts w:ascii="Century Gothic" w:eastAsia="CenturyGothic" w:hAnsi="Century Gothic" w:cs="Arial"/>
          <w:bCs/>
        </w:rPr>
        <w:t xml:space="preserve"> directamente a aves o a cerdos en granjas o explotaciones avícolas o porcinas y también a aves silvestres. La finalidad es reducir la oportunidad de una infección concomitante de virus humano y aviar o porcino, disminuyendo la posibilidad de recombinación o intercambio genético entre ambos virus.</w:t>
      </w:r>
    </w:p>
    <w:p w:rsidR="00DD7D70" w:rsidRDefault="00DD7D70">
      <w:pPr>
        <w:autoSpaceDE w:val="0"/>
        <w:spacing w:after="0" w:line="240" w:lineRule="auto"/>
        <w:jc w:val="both"/>
        <w:rPr>
          <w:rFonts w:ascii="Century Gothic" w:eastAsia="CenturyGothic" w:hAnsi="Century Gothic" w:cs="Arial"/>
          <w:b/>
          <w:bCs/>
          <w:color w:val="1F3864"/>
        </w:rPr>
      </w:pPr>
    </w:p>
    <w:p w:rsidR="00DD7D70" w:rsidRPr="007D239E" w:rsidRDefault="00DD7D70">
      <w:pPr>
        <w:autoSpaceDE w:val="0"/>
        <w:spacing w:after="0" w:line="240" w:lineRule="auto"/>
        <w:jc w:val="both"/>
        <w:rPr>
          <w:rFonts w:ascii="Century Gothic" w:eastAsia="CenturyGothic" w:hAnsi="Century Gothic" w:cs="Arial"/>
          <w:b/>
          <w:bCs/>
          <w:color w:val="2E74B5" w:themeColor="accent1" w:themeShade="BF"/>
        </w:rPr>
      </w:pPr>
    </w:p>
    <w:p w:rsidR="00DD7D70" w:rsidRPr="007D239E" w:rsidRDefault="00C35FD1">
      <w:pPr>
        <w:autoSpaceDE w:val="0"/>
        <w:spacing w:after="0" w:line="240" w:lineRule="auto"/>
        <w:jc w:val="both"/>
        <w:rPr>
          <w:rFonts w:ascii="Century Gothic" w:eastAsia="CenturyGothic" w:hAnsi="Century Gothic" w:cs="Arial"/>
          <w:b/>
          <w:bCs/>
          <w:color w:val="2E74B5" w:themeColor="accent1" w:themeShade="BF"/>
        </w:rPr>
      </w:pPr>
      <w:r w:rsidRPr="007D239E">
        <w:rPr>
          <w:rFonts w:ascii="Century Gothic" w:eastAsia="CenturyGothic" w:hAnsi="Century Gothic" w:cs="Arial"/>
          <w:b/>
          <w:bCs/>
          <w:color w:val="2E74B5" w:themeColor="accent1" w:themeShade="BF"/>
          <w:sz w:val="28"/>
          <w:szCs w:val="28"/>
        </w:rPr>
        <w:t>1.5 Indicaciones</w:t>
      </w:r>
      <w:r w:rsidR="00A856F4" w:rsidRPr="007D239E">
        <w:rPr>
          <w:rFonts w:ascii="Century Gothic" w:eastAsia="CenturyGothic" w:hAnsi="Century Gothic" w:cs="Arial"/>
          <w:b/>
          <w:bCs/>
          <w:color w:val="2E74B5" w:themeColor="accent1" w:themeShade="BF"/>
          <w:sz w:val="28"/>
          <w:szCs w:val="28"/>
        </w:rPr>
        <w:t xml:space="preserve"> específicas</w:t>
      </w:r>
    </w:p>
    <w:p w:rsidR="00626F1A" w:rsidRPr="00CC26AC" w:rsidRDefault="00626F1A" w:rsidP="00CC26AC">
      <w:pPr>
        <w:autoSpaceDE w:val="0"/>
        <w:spacing w:after="0" w:line="240" w:lineRule="auto"/>
        <w:rPr>
          <w:rFonts w:ascii="Century Gothic" w:eastAsia="CenturyGothic" w:hAnsi="Century Gothic" w:cs="Arial"/>
          <w:b/>
          <w:bCs/>
          <w:color w:val="1F497D"/>
        </w:rPr>
      </w:pPr>
    </w:p>
    <w:p w:rsidR="00DD7D70" w:rsidRPr="00614F58" w:rsidRDefault="00E3295D" w:rsidP="00CC26AC">
      <w:pPr>
        <w:pStyle w:val="Cita"/>
        <w:ind w:left="0"/>
        <w:jc w:val="both"/>
        <w:rPr>
          <w:rStyle w:val="nfasis"/>
          <w:rFonts w:ascii="Century Gothic" w:hAnsi="Century Gothic"/>
          <w:b/>
          <w:color w:val="auto"/>
        </w:rPr>
      </w:pPr>
      <w:r>
        <w:rPr>
          <w:rStyle w:val="nfasis"/>
          <w:rFonts w:ascii="Century Gothic" w:hAnsi="Century Gothic"/>
          <w:b/>
          <w:color w:val="auto"/>
        </w:rPr>
        <w:t>1.5.1</w:t>
      </w:r>
      <w:r w:rsidR="00AA05EA">
        <w:rPr>
          <w:rStyle w:val="nfasis"/>
          <w:rFonts w:ascii="Century Gothic" w:hAnsi="Century Gothic"/>
          <w:b/>
          <w:color w:val="auto"/>
        </w:rPr>
        <w:t>.-</w:t>
      </w:r>
      <w:r w:rsidR="00D36E23">
        <w:rPr>
          <w:rStyle w:val="nfasis"/>
          <w:rFonts w:ascii="Century Gothic" w:hAnsi="Century Gothic"/>
          <w:b/>
          <w:color w:val="auto"/>
        </w:rPr>
        <w:t>Vacunación</w:t>
      </w:r>
      <w:r w:rsidR="00DA7A37">
        <w:rPr>
          <w:rStyle w:val="nfasis"/>
          <w:rFonts w:ascii="Century Gothic" w:hAnsi="Century Gothic"/>
          <w:b/>
          <w:color w:val="auto"/>
        </w:rPr>
        <w:t xml:space="preserve"> entre</w:t>
      </w:r>
      <w:r w:rsidR="00D36E23">
        <w:rPr>
          <w:rStyle w:val="nfasis"/>
          <w:rFonts w:ascii="Century Gothic" w:hAnsi="Century Gothic"/>
          <w:b/>
          <w:color w:val="auto"/>
        </w:rPr>
        <w:t xml:space="preserve"> 6</w:t>
      </w:r>
      <w:r w:rsidR="00C35FD1">
        <w:rPr>
          <w:rStyle w:val="nfasis"/>
          <w:rFonts w:ascii="Century Gothic" w:hAnsi="Century Gothic"/>
          <w:b/>
          <w:color w:val="auto"/>
        </w:rPr>
        <w:t xml:space="preserve"> </w:t>
      </w:r>
      <w:r w:rsidR="00D36E23">
        <w:rPr>
          <w:rStyle w:val="nfasis"/>
          <w:rFonts w:ascii="Century Gothic" w:hAnsi="Century Gothic"/>
          <w:b/>
          <w:color w:val="auto"/>
        </w:rPr>
        <w:t>meses-15 años</w:t>
      </w:r>
    </w:p>
    <w:p w:rsidR="00DD7D70" w:rsidRPr="00CC26AC" w:rsidRDefault="00DD7D70" w:rsidP="00CC26AC">
      <w:pPr>
        <w:pStyle w:val="Cita"/>
        <w:ind w:left="0"/>
        <w:jc w:val="both"/>
        <w:rPr>
          <w:rStyle w:val="nfasis"/>
          <w:rFonts w:ascii="Century Gothic" w:hAnsi="Century Gothic"/>
          <w:color w:val="auto"/>
        </w:rPr>
      </w:pPr>
      <w:r w:rsidRPr="00CC26AC">
        <w:rPr>
          <w:rStyle w:val="nfasis"/>
          <w:rFonts w:ascii="Century Gothic" w:hAnsi="Century Gothic"/>
          <w:color w:val="auto"/>
        </w:rPr>
        <w:t xml:space="preserve">La vacunación infantil (6 meses – 15 años) se realizará con </w:t>
      </w:r>
      <w:r w:rsidRPr="00A856F4">
        <w:rPr>
          <w:rStyle w:val="nfasis"/>
          <w:rFonts w:ascii="Century Gothic" w:hAnsi="Century Gothic"/>
          <w:b/>
          <w:color w:val="auto"/>
        </w:rPr>
        <w:t>Chiroflu®</w:t>
      </w:r>
      <w:r w:rsidRPr="00CC26AC">
        <w:rPr>
          <w:rStyle w:val="nfasis"/>
          <w:rFonts w:ascii="Century Gothic" w:hAnsi="Century Gothic"/>
          <w:color w:val="auto"/>
        </w:rPr>
        <w:t xml:space="preserve"> conforme a las siguientes consideraciones:</w:t>
      </w:r>
    </w:p>
    <w:p w:rsidR="00DD7D70" w:rsidRPr="00CC26AC" w:rsidRDefault="00DD7D70" w:rsidP="00CC26AC">
      <w:pPr>
        <w:pStyle w:val="Cita"/>
        <w:jc w:val="both"/>
        <w:rPr>
          <w:rStyle w:val="nfasis"/>
          <w:rFonts w:ascii="Century Gothic" w:hAnsi="Century Gothic"/>
          <w:color w:val="auto"/>
        </w:rPr>
      </w:pPr>
      <w:r w:rsidRPr="00CC26AC">
        <w:rPr>
          <w:rStyle w:val="nfasis"/>
          <w:rFonts w:ascii="Century Gothic" w:hAnsi="Century Gothic"/>
          <w:color w:val="auto"/>
        </w:rPr>
        <w:t>En niños de 6 meses a 9 años que se vacunan por primera vez y que no han pade</w:t>
      </w:r>
      <w:r w:rsidR="00D36E23">
        <w:rPr>
          <w:rStyle w:val="nfasis"/>
          <w:rFonts w:ascii="Century Gothic" w:hAnsi="Century Gothic"/>
          <w:color w:val="auto"/>
        </w:rPr>
        <w:t>cido nunca la gripe, deben administrarse</w:t>
      </w:r>
      <w:r w:rsidRPr="00CC26AC">
        <w:rPr>
          <w:rStyle w:val="nfasis"/>
          <w:rFonts w:ascii="Century Gothic" w:hAnsi="Century Gothic"/>
          <w:color w:val="auto"/>
        </w:rPr>
        <w:t xml:space="preserve"> dos dosis separadas por un mes (en &lt; 3 años, cada dosis de 0,25 cc y en ≥ 3 años, de 0,5 cc). Las revacunaciones anuales posteriores se harán con una sola dosis de 0,25 cc en los &lt; 3 años, y de 0,5 cc en los mayores de esta edad.</w:t>
      </w:r>
    </w:p>
    <w:p w:rsidR="00DD7D70" w:rsidRPr="00CC26AC" w:rsidRDefault="00DD7D70" w:rsidP="00CC26AC">
      <w:pPr>
        <w:pStyle w:val="Cita"/>
        <w:jc w:val="both"/>
        <w:rPr>
          <w:rStyle w:val="nfasis"/>
          <w:rFonts w:ascii="Century Gothic" w:hAnsi="Century Gothic"/>
          <w:color w:val="auto"/>
        </w:rPr>
      </w:pPr>
      <w:r w:rsidRPr="00CC26AC">
        <w:rPr>
          <w:rStyle w:val="nfasis"/>
          <w:rFonts w:ascii="Century Gothic" w:hAnsi="Century Gothic"/>
          <w:color w:val="auto"/>
        </w:rPr>
        <w:t>Como norma general, si un niño &lt; 9 años solo recibió una dosis el</w:t>
      </w:r>
      <w:r w:rsidR="00D36E23">
        <w:rPr>
          <w:rStyle w:val="nfasis"/>
          <w:rFonts w:ascii="Century Gothic" w:hAnsi="Century Gothic"/>
          <w:color w:val="auto"/>
        </w:rPr>
        <w:t xml:space="preserve"> primer año que se vacunó</w:t>
      </w:r>
      <w:r w:rsidRPr="00CC26AC">
        <w:rPr>
          <w:rStyle w:val="nfasis"/>
          <w:rFonts w:ascii="Century Gothic" w:hAnsi="Century Gothic"/>
          <w:color w:val="auto"/>
        </w:rPr>
        <w:t>, el segundo año debe recibir dos dosis, y en los años sucesivos solo una.</w:t>
      </w:r>
    </w:p>
    <w:p w:rsidR="00DD7D70" w:rsidRPr="00CC26AC" w:rsidRDefault="00DD7D70" w:rsidP="00CC26AC">
      <w:pPr>
        <w:pStyle w:val="Cita"/>
        <w:jc w:val="both"/>
        <w:rPr>
          <w:rStyle w:val="nfasis"/>
          <w:rFonts w:ascii="Century Gothic" w:hAnsi="Century Gothic"/>
          <w:color w:val="auto"/>
        </w:rPr>
      </w:pPr>
      <w:r w:rsidRPr="00CC26AC">
        <w:rPr>
          <w:rStyle w:val="nfasis"/>
          <w:rFonts w:ascii="Century Gothic" w:hAnsi="Century Gothic"/>
          <w:color w:val="auto"/>
        </w:rPr>
        <w:t>Hay que recordar que hay que reservar otra vacuna en el punto de vacunación fuera de las fechas de campaña para estas segundas dosis.</w:t>
      </w:r>
    </w:p>
    <w:p w:rsidR="004854FC" w:rsidRDefault="004854FC" w:rsidP="00D36E23">
      <w:pPr>
        <w:pStyle w:val="Cita"/>
        <w:ind w:left="0"/>
        <w:jc w:val="both"/>
        <w:rPr>
          <w:rStyle w:val="nfasis"/>
          <w:rFonts w:ascii="Century Gothic" w:hAnsi="Century Gothic"/>
          <w:b/>
          <w:color w:val="auto"/>
        </w:rPr>
      </w:pPr>
    </w:p>
    <w:p w:rsidR="00E60EC4" w:rsidRDefault="00E3295D" w:rsidP="00D36E23">
      <w:pPr>
        <w:pStyle w:val="Cita"/>
        <w:ind w:left="0"/>
        <w:jc w:val="both"/>
        <w:rPr>
          <w:rStyle w:val="nfasis"/>
          <w:rFonts w:ascii="Century Gothic" w:hAnsi="Century Gothic"/>
          <w:b/>
          <w:color w:val="auto"/>
        </w:rPr>
      </w:pPr>
      <w:r>
        <w:rPr>
          <w:rStyle w:val="nfasis"/>
          <w:rFonts w:ascii="Century Gothic" w:hAnsi="Century Gothic"/>
          <w:b/>
          <w:color w:val="auto"/>
        </w:rPr>
        <w:t>1.5.2</w:t>
      </w:r>
      <w:r w:rsidR="00AA05EA">
        <w:rPr>
          <w:rStyle w:val="nfasis"/>
          <w:rFonts w:ascii="Century Gothic" w:hAnsi="Century Gothic"/>
          <w:b/>
          <w:color w:val="auto"/>
        </w:rPr>
        <w:t>.-</w:t>
      </w:r>
      <w:r w:rsidR="007D239E">
        <w:rPr>
          <w:rStyle w:val="nfasis"/>
          <w:rFonts w:ascii="Century Gothic" w:hAnsi="Century Gothic"/>
          <w:b/>
          <w:color w:val="auto"/>
        </w:rPr>
        <w:t xml:space="preserve"> </w:t>
      </w:r>
      <w:r w:rsidR="00D36E23">
        <w:rPr>
          <w:rStyle w:val="nfasis"/>
          <w:rFonts w:ascii="Century Gothic" w:hAnsi="Century Gothic"/>
          <w:b/>
          <w:color w:val="auto"/>
        </w:rPr>
        <w:t>Vacunación</w:t>
      </w:r>
      <w:r w:rsidR="00DA7A37">
        <w:rPr>
          <w:rStyle w:val="nfasis"/>
          <w:rFonts w:ascii="Century Gothic" w:hAnsi="Century Gothic"/>
          <w:b/>
          <w:color w:val="auto"/>
        </w:rPr>
        <w:t xml:space="preserve"> en personas</w:t>
      </w:r>
      <w:r w:rsidR="00D36E23">
        <w:rPr>
          <w:rStyle w:val="nfasis"/>
          <w:rFonts w:ascii="Century Gothic" w:hAnsi="Century Gothic"/>
          <w:b/>
          <w:color w:val="auto"/>
        </w:rPr>
        <w:t xml:space="preserve"> </w:t>
      </w:r>
      <w:r w:rsidR="00A856F4">
        <w:rPr>
          <w:rStyle w:val="nfasis"/>
          <w:rFonts w:ascii="Century Gothic" w:hAnsi="Century Gothic"/>
          <w:b/>
          <w:color w:val="auto"/>
        </w:rPr>
        <w:t xml:space="preserve">&gt; 15 </w:t>
      </w:r>
      <w:r w:rsidR="00D36E23">
        <w:rPr>
          <w:rStyle w:val="nfasis"/>
          <w:rFonts w:ascii="Century Gothic" w:hAnsi="Century Gothic"/>
          <w:b/>
          <w:color w:val="auto"/>
        </w:rPr>
        <w:t>años</w:t>
      </w:r>
      <w:r w:rsidR="00E60EC4">
        <w:rPr>
          <w:rStyle w:val="nfasis"/>
          <w:rFonts w:ascii="Century Gothic" w:hAnsi="Century Gothic"/>
          <w:b/>
          <w:color w:val="auto"/>
        </w:rPr>
        <w:t xml:space="preserve"> </w:t>
      </w:r>
    </w:p>
    <w:p w:rsidR="004854FC" w:rsidRPr="007D239E" w:rsidRDefault="004854FC" w:rsidP="007D239E">
      <w:pPr>
        <w:pStyle w:val="Cita"/>
        <w:ind w:left="0"/>
        <w:jc w:val="both"/>
        <w:rPr>
          <w:rStyle w:val="Textoennegrita"/>
          <w:rFonts w:ascii="Century Gothic" w:hAnsi="Century Gothic"/>
          <w:i w:val="0"/>
          <w:color w:val="auto"/>
        </w:rPr>
      </w:pPr>
      <w:r w:rsidRPr="007D239E">
        <w:rPr>
          <w:rStyle w:val="nfasis"/>
          <w:rFonts w:ascii="Century Gothic" w:hAnsi="Century Gothic"/>
          <w:color w:val="auto"/>
        </w:rPr>
        <w:t xml:space="preserve">A todas las personas mayores de 15 años pertenecientes a grupos de riesgo y las personas de 60 o más años, se les administrará una dosis de vacuna trivalente inactivada de virus fraccionados </w:t>
      </w:r>
      <w:r w:rsidRPr="007D239E">
        <w:rPr>
          <w:rStyle w:val="nfasis"/>
          <w:rFonts w:ascii="Century Gothic" w:hAnsi="Century Gothic"/>
          <w:b/>
          <w:color w:val="auto"/>
        </w:rPr>
        <w:t>Afluria</w:t>
      </w:r>
      <w:r w:rsidR="00E60EC4" w:rsidRPr="007D239E">
        <w:rPr>
          <w:rStyle w:val="Textoennegrita"/>
          <w:rFonts w:ascii="Century Gothic" w:hAnsi="Century Gothic"/>
          <w:b w:val="0"/>
          <w:color w:val="auto"/>
        </w:rPr>
        <w:t>®</w:t>
      </w:r>
      <w:r w:rsidRPr="007D239E">
        <w:rPr>
          <w:rStyle w:val="Textoennegrita"/>
          <w:rFonts w:ascii="Century Gothic" w:hAnsi="Century Gothic"/>
          <w:b w:val="0"/>
          <w:i w:val="0"/>
          <w:color w:val="auto"/>
        </w:rPr>
        <w:t>.</w:t>
      </w:r>
      <w:r w:rsidRPr="007D239E">
        <w:rPr>
          <w:rStyle w:val="Textoennegrita"/>
          <w:rFonts w:ascii="Century Gothic" w:hAnsi="Century Gothic"/>
          <w:i w:val="0"/>
          <w:color w:val="auto"/>
        </w:rPr>
        <w:t xml:space="preserve"> </w:t>
      </w:r>
    </w:p>
    <w:p w:rsidR="007D239E" w:rsidRPr="007D239E" w:rsidRDefault="007D239E" w:rsidP="007D239E">
      <w:pPr>
        <w:pStyle w:val="Cita"/>
        <w:ind w:left="705"/>
        <w:jc w:val="both"/>
        <w:rPr>
          <w:rStyle w:val="Textoennegrita"/>
          <w:rFonts w:ascii="Century Gothic" w:hAnsi="Century Gothic"/>
          <w:b w:val="0"/>
          <w:i w:val="0"/>
          <w:color w:val="auto"/>
        </w:rPr>
      </w:pPr>
      <w:r w:rsidRPr="007D239E">
        <w:rPr>
          <w:rFonts w:ascii="Century Gothic" w:hAnsi="Century Gothic"/>
          <w:i w:val="0"/>
          <w:color w:val="auto"/>
        </w:rPr>
        <w:t xml:space="preserve">La inmunización debe realizarse mediante inyección intramuscular o subcutánea profunda. </w:t>
      </w:r>
    </w:p>
    <w:p w:rsidR="007D239E" w:rsidRPr="007D239E" w:rsidRDefault="007D239E" w:rsidP="007D239E">
      <w:pPr>
        <w:pStyle w:val="Cita"/>
        <w:ind w:left="705"/>
        <w:jc w:val="both"/>
        <w:rPr>
          <w:rStyle w:val="Textoennegrita"/>
          <w:rFonts w:ascii="Century Gothic" w:hAnsi="Century Gothic"/>
          <w:b w:val="0"/>
          <w:i w:val="0"/>
          <w:color w:val="auto"/>
        </w:rPr>
      </w:pPr>
      <w:r w:rsidRPr="007D239E">
        <w:rPr>
          <w:rFonts w:ascii="Century Gothic" w:hAnsi="Century Gothic"/>
          <w:i w:val="0"/>
          <w:color w:val="auto"/>
        </w:rPr>
        <w:t>Puede administrarse simultáneamente con otras vacunas. La inmunización debe realizarse en extremidades distintas.</w:t>
      </w:r>
    </w:p>
    <w:p w:rsidR="007D239E" w:rsidRPr="007D239E" w:rsidRDefault="007D239E" w:rsidP="007D239E">
      <w:pPr>
        <w:ind w:firstLine="708"/>
        <w:rPr>
          <w:rFonts w:ascii="Century Gothic" w:hAnsi="Century Gothic"/>
        </w:rPr>
      </w:pPr>
      <w:r w:rsidRPr="007D239E">
        <w:rPr>
          <w:rFonts w:ascii="Century Gothic" w:hAnsi="Century Gothic"/>
        </w:rPr>
        <w:t>En ningún caso debe</w:t>
      </w:r>
      <w:r>
        <w:rPr>
          <w:rFonts w:ascii="Century Gothic" w:hAnsi="Century Gothic"/>
        </w:rPr>
        <w:t>n</w:t>
      </w:r>
      <w:r w:rsidRPr="007D239E">
        <w:rPr>
          <w:rFonts w:ascii="Century Gothic" w:hAnsi="Century Gothic"/>
        </w:rPr>
        <w:t xml:space="preserve"> vacunarse con</w:t>
      </w:r>
      <w:r w:rsidRPr="007D239E">
        <w:rPr>
          <w:rStyle w:val="nfasis"/>
          <w:rFonts w:ascii="Century Gothic" w:hAnsi="Century Gothic"/>
        </w:rPr>
        <w:t xml:space="preserve"> </w:t>
      </w:r>
      <w:r w:rsidRPr="007D239E">
        <w:rPr>
          <w:rStyle w:val="nfasis"/>
          <w:rFonts w:ascii="Century Gothic" w:hAnsi="Century Gothic"/>
          <w:i w:val="0"/>
        </w:rPr>
        <w:t>Afluria</w:t>
      </w:r>
      <w:r w:rsidRPr="007D239E">
        <w:rPr>
          <w:rStyle w:val="Textoennegrita"/>
          <w:rFonts w:ascii="Century Gothic" w:hAnsi="Century Gothic"/>
          <w:i/>
        </w:rPr>
        <w:t>®</w:t>
      </w:r>
      <w:r w:rsidRPr="007D239E">
        <w:rPr>
          <w:rFonts w:ascii="Century Gothic" w:hAnsi="Century Gothic"/>
        </w:rPr>
        <w:t xml:space="preserve"> niños menores de 5 años.</w:t>
      </w:r>
    </w:p>
    <w:p w:rsidR="00DA7A37" w:rsidRPr="00614F58" w:rsidRDefault="00E3295D" w:rsidP="00DA7A37">
      <w:pPr>
        <w:pStyle w:val="Cita"/>
        <w:ind w:left="0"/>
        <w:jc w:val="both"/>
        <w:rPr>
          <w:rStyle w:val="nfasis"/>
          <w:rFonts w:ascii="Century Gothic" w:hAnsi="Century Gothic"/>
          <w:b/>
          <w:color w:val="auto"/>
        </w:rPr>
      </w:pPr>
      <w:r>
        <w:rPr>
          <w:rStyle w:val="nfasis"/>
          <w:rFonts w:ascii="Century Gothic" w:hAnsi="Century Gothic"/>
          <w:b/>
          <w:color w:val="auto"/>
        </w:rPr>
        <w:lastRenderedPageBreak/>
        <w:t>1.5.3</w:t>
      </w:r>
      <w:r w:rsidR="00AA05EA">
        <w:rPr>
          <w:rStyle w:val="nfasis"/>
          <w:rFonts w:ascii="Century Gothic" w:hAnsi="Century Gothic"/>
          <w:b/>
          <w:color w:val="auto"/>
        </w:rPr>
        <w:t>.-</w:t>
      </w:r>
      <w:r w:rsidR="00DA7A37">
        <w:rPr>
          <w:rStyle w:val="nfasis"/>
          <w:rFonts w:ascii="Century Gothic" w:hAnsi="Century Gothic"/>
          <w:b/>
          <w:color w:val="auto"/>
        </w:rPr>
        <w:t>Vacunación en personas institucionalizadas</w:t>
      </w:r>
    </w:p>
    <w:p w:rsidR="00DA7A37" w:rsidRDefault="00DA7A37" w:rsidP="00DA7A37">
      <w:pPr>
        <w:autoSpaceDE w:val="0"/>
        <w:spacing w:before="240" w:after="0" w:line="240" w:lineRule="auto"/>
        <w:jc w:val="both"/>
        <w:rPr>
          <w:rFonts w:ascii="Century Gothic" w:hAnsi="Century Gothic" w:cs="Arial"/>
        </w:rPr>
      </w:pPr>
      <w:r>
        <w:rPr>
          <w:rFonts w:ascii="Century Gothic" w:hAnsi="Century Gothic" w:cs="Arial"/>
        </w:rPr>
        <w:t>La vacunación en las personas residentes en centros socio sanitarios se realizará de la siguiente manera:</w:t>
      </w:r>
    </w:p>
    <w:p w:rsidR="00DA7A37" w:rsidRDefault="00DA7A37" w:rsidP="00DA7A37">
      <w:pPr>
        <w:numPr>
          <w:ilvl w:val="0"/>
          <w:numId w:val="13"/>
        </w:numPr>
        <w:autoSpaceDE w:val="0"/>
        <w:spacing w:after="0" w:line="240" w:lineRule="auto"/>
        <w:jc w:val="both"/>
        <w:rPr>
          <w:rFonts w:ascii="Century Gothic" w:hAnsi="Century Gothic" w:cs="Arial"/>
        </w:rPr>
      </w:pPr>
      <w:r>
        <w:rPr>
          <w:rFonts w:ascii="Century Gothic" w:hAnsi="Century Gothic" w:cs="Arial"/>
        </w:rPr>
        <w:t xml:space="preserve">La vacuna adjudicada este año es la vacuna antigripal adyuvada </w:t>
      </w:r>
      <w:r w:rsidRPr="00DA7A37">
        <w:rPr>
          <w:rFonts w:ascii="Century Gothic" w:hAnsi="Century Gothic" w:cs="Arial"/>
          <w:b/>
        </w:rPr>
        <w:t xml:space="preserve">CHIROMAS®, </w:t>
      </w:r>
      <w:r>
        <w:rPr>
          <w:rFonts w:ascii="Century Gothic" w:hAnsi="Century Gothic" w:cs="Arial"/>
        </w:rPr>
        <w:t>indicada en la inmunización activa contra la gripe en las personas ≥ 60 años, y especialmente en los individuos con mayor riesgo de complicaciones asociadas.</w:t>
      </w:r>
    </w:p>
    <w:p w:rsidR="00DA7A37" w:rsidRDefault="00DA7A37" w:rsidP="00DA7A37">
      <w:pPr>
        <w:numPr>
          <w:ilvl w:val="0"/>
          <w:numId w:val="13"/>
        </w:numPr>
        <w:autoSpaceDE w:val="0"/>
        <w:spacing w:after="0" w:line="240" w:lineRule="auto"/>
        <w:jc w:val="both"/>
        <w:rPr>
          <w:rFonts w:ascii="Century Gothic" w:hAnsi="Century Gothic" w:cs="Arial"/>
          <w:b/>
        </w:rPr>
      </w:pPr>
      <w:r>
        <w:rPr>
          <w:rFonts w:ascii="Century Gothic" w:hAnsi="Century Gothic" w:cs="Arial"/>
        </w:rPr>
        <w:t>CHIROMAS® puede administrarse vía intramuscular haciendo presión durante 2 minutos tras la administración (no frotar ni masajear, solo presionar): la administración intramuscular en pacientes ancianos anticoagulados no da lugar a complicaciones hemorrágicas locales.</w:t>
      </w:r>
    </w:p>
    <w:p w:rsidR="00D36E23" w:rsidRPr="00DA7A37" w:rsidRDefault="00D36E23">
      <w:pPr>
        <w:autoSpaceDE w:val="0"/>
        <w:spacing w:after="0" w:line="240" w:lineRule="auto"/>
        <w:jc w:val="both"/>
        <w:rPr>
          <w:rFonts w:ascii="Century Gothic" w:eastAsia="CenturyGothic" w:hAnsi="Century Gothic" w:cs="Arial"/>
        </w:rPr>
      </w:pPr>
    </w:p>
    <w:p w:rsidR="00D36E23" w:rsidRPr="00DA7A37" w:rsidRDefault="00D36E23">
      <w:pPr>
        <w:autoSpaceDE w:val="0"/>
        <w:spacing w:after="0" w:line="240" w:lineRule="auto"/>
        <w:jc w:val="both"/>
        <w:rPr>
          <w:rFonts w:ascii="Century Gothic" w:eastAsia="CenturyGothic" w:hAnsi="Century Gothic" w:cs="Arial"/>
        </w:rPr>
      </w:pPr>
    </w:p>
    <w:p w:rsidR="00DD7D70" w:rsidRPr="00DA7A37" w:rsidRDefault="00E3295D">
      <w:pPr>
        <w:autoSpaceDE w:val="0"/>
        <w:spacing w:after="0" w:line="240" w:lineRule="auto"/>
        <w:jc w:val="both"/>
        <w:rPr>
          <w:rStyle w:val="nfasis"/>
          <w:rFonts w:ascii="Century Gothic" w:hAnsi="Century Gothic"/>
          <w:b/>
          <w:i w:val="0"/>
        </w:rPr>
      </w:pPr>
      <w:r>
        <w:rPr>
          <w:rStyle w:val="nfasis"/>
          <w:rFonts w:ascii="Century Gothic" w:hAnsi="Century Gothic"/>
          <w:b/>
          <w:i w:val="0"/>
        </w:rPr>
        <w:t>1.5.4</w:t>
      </w:r>
      <w:r w:rsidR="00AA05EA">
        <w:rPr>
          <w:rStyle w:val="nfasis"/>
          <w:rFonts w:ascii="Century Gothic" w:hAnsi="Century Gothic"/>
          <w:b/>
          <w:i w:val="0"/>
        </w:rPr>
        <w:t>.-</w:t>
      </w:r>
      <w:r w:rsidR="00DD7D70" w:rsidRPr="00DA7A37">
        <w:rPr>
          <w:rStyle w:val="nfasis"/>
          <w:rFonts w:ascii="Century Gothic" w:hAnsi="Century Gothic"/>
          <w:b/>
          <w:i w:val="0"/>
        </w:rPr>
        <w:t>Vacunación en</w:t>
      </w:r>
      <w:r w:rsidR="00614F58" w:rsidRPr="00DA7A37">
        <w:rPr>
          <w:rStyle w:val="nfasis"/>
          <w:rFonts w:ascii="Century Gothic" w:hAnsi="Century Gothic"/>
          <w:b/>
          <w:i w:val="0"/>
        </w:rPr>
        <w:t xml:space="preserve"> personas </w:t>
      </w:r>
      <w:r w:rsidR="00DD7D70" w:rsidRPr="00DA7A37">
        <w:rPr>
          <w:rStyle w:val="nfasis"/>
          <w:rFonts w:ascii="Century Gothic" w:hAnsi="Century Gothic"/>
          <w:b/>
          <w:i w:val="0"/>
        </w:rPr>
        <w:t>alérgic</w:t>
      </w:r>
      <w:r w:rsidR="00614F58" w:rsidRPr="00DA7A37">
        <w:rPr>
          <w:rStyle w:val="nfasis"/>
          <w:rFonts w:ascii="Century Gothic" w:hAnsi="Century Gothic"/>
          <w:b/>
          <w:i w:val="0"/>
        </w:rPr>
        <w:t>a</w:t>
      </w:r>
      <w:r w:rsidR="00DD7D70" w:rsidRPr="00DA7A37">
        <w:rPr>
          <w:rStyle w:val="nfasis"/>
          <w:rFonts w:ascii="Century Gothic" w:hAnsi="Century Gothic"/>
          <w:b/>
          <w:i w:val="0"/>
        </w:rPr>
        <w:t>s al huevo</w:t>
      </w:r>
    </w:p>
    <w:p w:rsidR="00DD7D70" w:rsidRPr="00614F58" w:rsidRDefault="00DD7D70">
      <w:pPr>
        <w:shd w:val="clear" w:color="auto" w:fill="FFFFFF"/>
        <w:spacing w:before="280" w:after="280" w:line="240" w:lineRule="auto"/>
        <w:jc w:val="both"/>
        <w:rPr>
          <w:rStyle w:val="nfasis"/>
          <w:rFonts w:ascii="Century Gothic" w:hAnsi="Century Gothic"/>
          <w:i w:val="0"/>
        </w:rPr>
      </w:pPr>
      <w:r w:rsidRPr="00614F58">
        <w:rPr>
          <w:rStyle w:val="nfasis"/>
          <w:rFonts w:ascii="Century Gothic" w:hAnsi="Century Gothic"/>
          <w:i w:val="0"/>
        </w:rPr>
        <w:t xml:space="preserve">Como con cualquier otra vacuna, la única contraindicación absoluta para administrar la antigripal es el antecedente de reacción alérgica grave a dicha vacuna.  </w:t>
      </w:r>
    </w:p>
    <w:p w:rsidR="00DD7D70" w:rsidRPr="00614F58" w:rsidRDefault="00DD7D70">
      <w:pPr>
        <w:shd w:val="clear" w:color="auto" w:fill="FFFFFF"/>
        <w:spacing w:before="280" w:after="280" w:line="240" w:lineRule="auto"/>
        <w:jc w:val="both"/>
        <w:rPr>
          <w:rStyle w:val="nfasis"/>
          <w:rFonts w:ascii="Century Gothic" w:hAnsi="Century Gothic"/>
          <w:i w:val="0"/>
        </w:rPr>
      </w:pPr>
      <w:r w:rsidRPr="00614F58">
        <w:rPr>
          <w:rStyle w:val="nfasis"/>
          <w:rFonts w:ascii="Century Gothic" w:hAnsi="Century Gothic"/>
          <w:i w:val="0"/>
        </w:rPr>
        <w:t>Las vacunas inactivadas actuales frente a la gripe presentan cantidades residuales (trazas) de proteínas de huevo (≤0,05 a 0,20 µg/dosis).</w:t>
      </w:r>
    </w:p>
    <w:p w:rsidR="00DD7D70" w:rsidRPr="00614F58" w:rsidRDefault="00DD7D70">
      <w:pPr>
        <w:shd w:val="clear" w:color="auto" w:fill="FFFFFF"/>
        <w:spacing w:before="280" w:after="280" w:line="240" w:lineRule="auto"/>
        <w:jc w:val="both"/>
        <w:rPr>
          <w:rStyle w:val="nfasis"/>
          <w:rFonts w:ascii="Century Gothic" w:hAnsi="Century Gothic"/>
        </w:rPr>
      </w:pPr>
      <w:r w:rsidRPr="00614F58">
        <w:rPr>
          <w:rStyle w:val="nfasis"/>
          <w:rFonts w:ascii="Century Gothic" w:hAnsi="Century Gothic"/>
        </w:rPr>
        <w:t>ACIP: Advisory Committee on Immunization Practices (ACIP) United States, 2017-18 (</w:t>
      </w:r>
      <w:hyperlink r:id="rId9" w:anchor="_blank" w:history="1">
        <w:r w:rsidRPr="00614F58">
          <w:rPr>
            <w:rStyle w:val="nfasis"/>
            <w:rFonts w:ascii="Century Gothic" w:hAnsi="Century Gothic"/>
          </w:rPr>
          <w:t>https://www.cdc.gov/mmwr/volumes/66/rr/rr6602a1.htm</w:t>
        </w:r>
      </w:hyperlink>
      <w:r w:rsidRPr="00614F58">
        <w:rPr>
          <w:rStyle w:val="nfasis"/>
          <w:rFonts w:ascii="Century Gothic" w:hAnsi="Century Gothic"/>
        </w:rPr>
        <w:t xml:space="preserve">): </w:t>
      </w:r>
    </w:p>
    <w:p w:rsidR="00DD7D70" w:rsidRPr="00614F58" w:rsidRDefault="00DD7D70" w:rsidP="00CC26AC">
      <w:pPr>
        <w:pStyle w:val="Prrafodelista"/>
        <w:numPr>
          <w:ilvl w:val="0"/>
          <w:numId w:val="33"/>
        </w:numPr>
        <w:shd w:val="clear" w:color="auto" w:fill="FFFFFF"/>
        <w:spacing w:before="280" w:after="0" w:line="240" w:lineRule="auto"/>
        <w:jc w:val="both"/>
        <w:rPr>
          <w:rStyle w:val="nfasis"/>
          <w:rFonts w:ascii="Century Gothic" w:hAnsi="Century Gothic"/>
        </w:rPr>
      </w:pPr>
      <w:r w:rsidRPr="00614F58">
        <w:rPr>
          <w:rStyle w:val="nfasis"/>
          <w:rFonts w:ascii="Century Gothic" w:hAnsi="Century Gothic"/>
        </w:rPr>
        <w:t xml:space="preserve">Las personas con antecedente de urticaria tras exposición al huevo pueden recibir cualquier tipo vacuna antigripal.  </w:t>
      </w:r>
    </w:p>
    <w:p w:rsidR="00614F58" w:rsidRPr="00DA7A37" w:rsidRDefault="00DD7D70" w:rsidP="00DA7A37">
      <w:pPr>
        <w:pStyle w:val="Prrafodelista"/>
        <w:numPr>
          <w:ilvl w:val="0"/>
          <w:numId w:val="33"/>
        </w:numPr>
        <w:shd w:val="clear" w:color="auto" w:fill="FFFFFF"/>
        <w:spacing w:after="0" w:line="240" w:lineRule="auto"/>
        <w:jc w:val="both"/>
        <w:rPr>
          <w:rStyle w:val="nfasis"/>
          <w:rFonts w:ascii="Century Gothic" w:hAnsi="Century Gothic"/>
        </w:rPr>
      </w:pPr>
      <w:r w:rsidRPr="00614F58">
        <w:rPr>
          <w:rStyle w:val="nfasis"/>
          <w:rFonts w:ascii="Century Gothic" w:hAnsi="Century Gothic"/>
        </w:rPr>
        <w:t xml:space="preserve">Quienes hayan experimentado síntomas como angioedema, dificultades respiratorias, mareos/vértigos o vómitos; o hayan requerido adrenalina u otras maniobras médicas de urgencia, también pueden recibir cualquier vacuna antigripal. En estos casos la vacuna debe administrarse en un entorno sanitario con supervisión por profesionales capaces de atender reacciones alérgicas graves.   </w:t>
      </w:r>
    </w:p>
    <w:p w:rsidR="00DD7D70" w:rsidRPr="00614F58" w:rsidRDefault="00DD7D70" w:rsidP="00CC26AC">
      <w:pPr>
        <w:shd w:val="clear" w:color="auto" w:fill="FFFFFF"/>
        <w:spacing w:after="280" w:line="240" w:lineRule="auto"/>
        <w:ind w:left="720"/>
        <w:jc w:val="both"/>
        <w:rPr>
          <w:rStyle w:val="nfasis"/>
          <w:rFonts w:ascii="Century Gothic" w:hAnsi="Century Gothic"/>
        </w:rPr>
      </w:pPr>
      <w:r w:rsidRPr="00614F58">
        <w:rPr>
          <w:rStyle w:val="nfasis"/>
          <w:rFonts w:ascii="Century Gothic" w:hAnsi="Century Gothic"/>
        </w:rPr>
        <w:t>No necesidad de fraccionar la dosis.</w:t>
      </w:r>
    </w:p>
    <w:p w:rsidR="00DD7D70" w:rsidRPr="00614F58" w:rsidRDefault="00DD7D70">
      <w:pPr>
        <w:shd w:val="clear" w:color="auto" w:fill="FFFFFF"/>
        <w:spacing w:before="280" w:after="280" w:line="240" w:lineRule="auto"/>
        <w:jc w:val="both"/>
        <w:rPr>
          <w:rStyle w:val="nfasis"/>
          <w:rFonts w:ascii="Century Gothic" w:hAnsi="Century Gothic"/>
        </w:rPr>
      </w:pPr>
      <w:r w:rsidRPr="00614F58">
        <w:rPr>
          <w:rStyle w:val="nfasis"/>
          <w:rFonts w:ascii="Century Gothic" w:hAnsi="Century Gothic"/>
        </w:rPr>
        <w:t>American Academy of Allergy, Asthma and Immunology:</w:t>
      </w:r>
    </w:p>
    <w:p w:rsidR="00DD7D70" w:rsidRPr="00614F58" w:rsidRDefault="00DD7D70" w:rsidP="00CC26AC">
      <w:pPr>
        <w:pStyle w:val="Prrafodelista"/>
        <w:numPr>
          <w:ilvl w:val="0"/>
          <w:numId w:val="34"/>
        </w:numPr>
        <w:shd w:val="clear" w:color="auto" w:fill="FFFFFF"/>
        <w:spacing w:before="280" w:after="0" w:line="240" w:lineRule="auto"/>
        <w:jc w:val="both"/>
        <w:rPr>
          <w:rStyle w:val="nfasis"/>
          <w:rFonts w:ascii="Century Gothic" w:hAnsi="Century Gothic"/>
        </w:rPr>
      </w:pPr>
      <w:r w:rsidRPr="00614F58">
        <w:rPr>
          <w:rStyle w:val="nfasis"/>
          <w:rFonts w:ascii="Century Gothic" w:hAnsi="Century Gothic"/>
        </w:rPr>
        <w:t>No se requieren precauciones especiales para administrar la vacuna contra la gripe a pacientes con alergia al huevo, no importa el grado de su alergia al huevo.</w:t>
      </w:r>
    </w:p>
    <w:p w:rsidR="00DD7D70" w:rsidRPr="00614F58" w:rsidRDefault="00DD7D70" w:rsidP="00CC26AC">
      <w:pPr>
        <w:pStyle w:val="Prrafodelista"/>
        <w:numPr>
          <w:ilvl w:val="0"/>
          <w:numId w:val="34"/>
        </w:numPr>
        <w:shd w:val="clear" w:color="auto" w:fill="FFFFFF"/>
        <w:spacing w:after="0" w:line="240" w:lineRule="auto"/>
        <w:jc w:val="both"/>
        <w:rPr>
          <w:rStyle w:val="nfasis"/>
          <w:rFonts w:ascii="Century Gothic" w:hAnsi="Century Gothic"/>
        </w:rPr>
      </w:pPr>
      <w:r w:rsidRPr="00614F58">
        <w:rPr>
          <w:rStyle w:val="nfasis"/>
          <w:rFonts w:ascii="Century Gothic" w:hAnsi="Century Gothic"/>
        </w:rPr>
        <w:t>Aproximadamente una en un millón de dosis de cualquier vacuna produce una reacción alérgica grave, y quienes administran vacunas deben estar preparados para reconocer y tratar dichas reacciones.</w:t>
      </w:r>
    </w:p>
    <w:p w:rsidR="00DD7D70" w:rsidRPr="00614F58" w:rsidRDefault="00DD7D70" w:rsidP="00CC26AC">
      <w:pPr>
        <w:pStyle w:val="Prrafodelista"/>
        <w:numPr>
          <w:ilvl w:val="0"/>
          <w:numId w:val="34"/>
        </w:numPr>
        <w:shd w:val="clear" w:color="auto" w:fill="FFFFFF"/>
        <w:spacing w:after="280" w:line="240" w:lineRule="auto"/>
        <w:jc w:val="both"/>
        <w:rPr>
          <w:rStyle w:val="nfasis"/>
          <w:rFonts w:ascii="Century Gothic" w:hAnsi="Century Gothic"/>
        </w:rPr>
      </w:pPr>
      <w:r w:rsidRPr="00614F58">
        <w:rPr>
          <w:rStyle w:val="nfasis"/>
          <w:rFonts w:ascii="Century Gothic" w:hAnsi="Century Gothic"/>
        </w:rPr>
        <w:t xml:space="preserve">La vacuna contra la gripe puede administrarse con seguridad a pacientes que padecen alergia al huevo </w:t>
      </w:r>
      <w:hyperlink r:id="rId10" w:anchor="_blank" w:history="1">
        <w:r w:rsidRPr="00614F58">
          <w:rPr>
            <w:rStyle w:val="nfasis"/>
            <w:rFonts w:ascii="Century Gothic" w:hAnsi="Century Gothic"/>
          </w:rPr>
          <w:t>https://www.aaaai.org/conditions-and-treatments/library/allergy-library/SP-Egg-Allergy-and-</w:t>
        </w:r>
      </w:hyperlink>
      <w:hyperlink r:id="rId11" w:anchor="_blank" w:history="1">
        <w:r w:rsidRPr="00614F58">
          <w:rPr>
            <w:rStyle w:val="nfasis"/>
            <w:rFonts w:ascii="Century Gothic" w:hAnsi="Century Gothic"/>
          </w:rPr>
          <w:t>the-Flu-Vaccine</w:t>
        </w:r>
      </w:hyperlink>
    </w:p>
    <w:p w:rsidR="00DD7D70" w:rsidRPr="00614F58" w:rsidRDefault="00DD7D70">
      <w:pPr>
        <w:shd w:val="clear" w:color="auto" w:fill="FFFFFF"/>
        <w:spacing w:before="280" w:after="280" w:line="240" w:lineRule="auto"/>
        <w:jc w:val="both"/>
        <w:rPr>
          <w:rStyle w:val="nfasis"/>
          <w:rFonts w:ascii="Century Gothic" w:hAnsi="Century Gothic"/>
        </w:rPr>
      </w:pPr>
      <w:r w:rsidRPr="00614F58">
        <w:rPr>
          <w:rStyle w:val="nfasis"/>
          <w:rFonts w:ascii="Century Gothic" w:hAnsi="Century Gothic"/>
        </w:rPr>
        <w:t>Comité Nacional Asesor en Vacunación (NACI) de Canadá.</w:t>
      </w:r>
    </w:p>
    <w:p w:rsidR="00DD7D70" w:rsidRPr="00614F58" w:rsidRDefault="00DD7D70" w:rsidP="00CC26AC">
      <w:pPr>
        <w:pStyle w:val="Prrafodelista"/>
        <w:numPr>
          <w:ilvl w:val="0"/>
          <w:numId w:val="35"/>
        </w:numPr>
        <w:shd w:val="clear" w:color="auto" w:fill="FFFFFF"/>
        <w:spacing w:before="280" w:after="0" w:line="240" w:lineRule="auto"/>
        <w:jc w:val="both"/>
        <w:rPr>
          <w:rStyle w:val="nfasis"/>
          <w:rFonts w:ascii="Century Gothic" w:hAnsi="Century Gothic"/>
        </w:rPr>
      </w:pPr>
      <w:r w:rsidRPr="00614F58">
        <w:rPr>
          <w:rStyle w:val="nfasis"/>
          <w:rFonts w:ascii="Century Gothic" w:hAnsi="Century Gothic"/>
        </w:rPr>
        <w:t xml:space="preserve">Canadian Immunization Guide Chapter on Influenza and Statement on Seasonal Influenza Vaccine for 2017–2018: la administración de la vacuna antigripal trivalente/cuadrivalente inactivada en alérgicos al huevo no requiere más precauciones que cualquier otra vacuna (30 minutos vigilancia, material atención reacciones alérgicas). </w:t>
      </w:r>
    </w:p>
    <w:p w:rsidR="00D36E23" w:rsidRPr="00592717" w:rsidRDefault="00DD7D70" w:rsidP="00D36E23">
      <w:pPr>
        <w:pStyle w:val="Prrafodelista"/>
        <w:numPr>
          <w:ilvl w:val="0"/>
          <w:numId w:val="35"/>
        </w:numPr>
        <w:shd w:val="clear" w:color="auto" w:fill="FFFFFF"/>
        <w:spacing w:after="280" w:line="240" w:lineRule="auto"/>
        <w:jc w:val="both"/>
        <w:rPr>
          <w:rStyle w:val="nfasis"/>
          <w:rFonts w:ascii="Century Gothic" w:hAnsi="Century Gothic"/>
        </w:rPr>
      </w:pPr>
      <w:r w:rsidRPr="00614F58">
        <w:rPr>
          <w:rStyle w:val="nfasis"/>
          <w:rFonts w:ascii="Century Gothic" w:hAnsi="Century Gothic"/>
        </w:rPr>
        <w:t xml:space="preserve">No se han producido más reacciones alérgicas a la vacuna antigripal en Canadá desde que el Comité Asesor Vacunación (NACI) modificó la recomendación sobre utilización de la vacuna inactivada en individuos con alergia al huevo en 2011. </w:t>
      </w:r>
      <w:hyperlink r:id="rId12" w:anchor="_blank" w:history="1">
        <w:r w:rsidRPr="00614F58">
          <w:rPr>
            <w:rStyle w:val="nfasis"/>
            <w:rFonts w:ascii="Century Gothic" w:hAnsi="Century Gothic"/>
          </w:rPr>
          <w:t>https://www.canada.ca/en/public-</w:t>
        </w:r>
      </w:hyperlink>
      <w:hyperlink r:id="rId13" w:anchor="_blank" w:history="1">
        <w:r w:rsidRPr="00614F58">
          <w:rPr>
            <w:rStyle w:val="nfasis"/>
            <w:rFonts w:ascii="Century Gothic" w:hAnsi="Century Gothic"/>
          </w:rPr>
          <w:t>health/services/publications/healthy-living/canadian-immunization-guide-statement-seasonal-</w:t>
        </w:r>
      </w:hyperlink>
      <w:hyperlink r:id="rId14" w:anchor="_blank" w:history="1">
        <w:r w:rsidRPr="00614F58">
          <w:rPr>
            <w:rStyle w:val="nfasis"/>
            <w:rFonts w:ascii="Century Gothic" w:hAnsi="Century Gothic"/>
          </w:rPr>
          <w:t>influenza-vaccine-2017-2018.html#add</w:t>
        </w:r>
      </w:hyperlink>
      <w:r w:rsidRPr="00614F58">
        <w:rPr>
          <w:rStyle w:val="nfasis"/>
          <w:rFonts w:ascii="Century Gothic" w:hAnsi="Century Gothic"/>
        </w:rPr>
        <w:t xml:space="preserve"> </w:t>
      </w:r>
    </w:p>
    <w:p w:rsidR="00D36E23" w:rsidRPr="00614F58" w:rsidRDefault="00BE5C6D" w:rsidP="00D36E23">
      <w:pPr>
        <w:autoSpaceDE w:val="0"/>
        <w:spacing w:after="0" w:line="240" w:lineRule="auto"/>
        <w:jc w:val="both"/>
        <w:rPr>
          <w:rFonts w:ascii="Century Gothic" w:eastAsia="CenturyGothic" w:hAnsi="Century Gothic" w:cs="Arial"/>
          <w:b/>
          <w:bCs/>
          <w:color w:val="2E74B5" w:themeColor="accent1" w:themeShade="BF"/>
        </w:rPr>
      </w:pPr>
      <w:r>
        <w:rPr>
          <w:rFonts w:ascii="Century Gothic" w:eastAsia="CenturyGothic" w:hAnsi="Century Gothic" w:cs="Arial"/>
          <w:b/>
          <w:bCs/>
          <w:color w:val="2E74B5" w:themeColor="accent1" w:themeShade="BF"/>
          <w:sz w:val="28"/>
          <w:szCs w:val="28"/>
        </w:rPr>
        <w:t xml:space="preserve">1.6 Contraindicaciones </w:t>
      </w:r>
    </w:p>
    <w:p w:rsidR="00D36E23" w:rsidRPr="00911E94" w:rsidRDefault="00D36E23" w:rsidP="00D36E23">
      <w:pPr>
        <w:autoSpaceDE w:val="0"/>
        <w:spacing w:after="0" w:line="240" w:lineRule="auto"/>
        <w:jc w:val="both"/>
        <w:rPr>
          <w:rFonts w:ascii="Century Gothic" w:eastAsia="CenturyGothic" w:hAnsi="Century Gothic" w:cs="Arial"/>
          <w:b/>
          <w:bCs/>
        </w:rPr>
      </w:pPr>
    </w:p>
    <w:p w:rsidR="00D36E23" w:rsidRPr="00911E94" w:rsidRDefault="00D36E23" w:rsidP="00D36E23">
      <w:pPr>
        <w:autoSpaceDE w:val="0"/>
        <w:spacing w:after="0" w:line="240" w:lineRule="auto"/>
        <w:jc w:val="both"/>
        <w:rPr>
          <w:rFonts w:ascii="Century Gothic" w:eastAsia="CenturyGothic" w:hAnsi="Century Gothic" w:cs="Arial"/>
          <w:b/>
          <w:bCs/>
        </w:rPr>
      </w:pPr>
      <w:r w:rsidRPr="00911E94">
        <w:rPr>
          <w:rFonts w:ascii="Century Gothic" w:eastAsia="CenturyGothic" w:hAnsi="Century Gothic" w:cs="Arial"/>
          <w:b/>
          <w:bCs/>
        </w:rPr>
        <w:t>Personas que no deben ser vacunadas</w:t>
      </w:r>
      <w:r w:rsidR="00911E94" w:rsidRPr="00911E94">
        <w:rPr>
          <w:rFonts w:ascii="Century Gothic" w:eastAsia="CenturyGothic" w:hAnsi="Century Gothic" w:cs="Arial"/>
          <w:b/>
          <w:bCs/>
        </w:rPr>
        <w:t>:</w:t>
      </w:r>
    </w:p>
    <w:p w:rsidR="00D36E23" w:rsidRPr="00911E94" w:rsidRDefault="00D36E23" w:rsidP="00D36E23">
      <w:pPr>
        <w:autoSpaceDE w:val="0"/>
        <w:spacing w:after="0" w:line="240" w:lineRule="auto"/>
        <w:jc w:val="both"/>
        <w:rPr>
          <w:rFonts w:ascii="Century Gothic" w:eastAsia="CenturyGothic" w:hAnsi="Century Gothic" w:cs="Arial"/>
          <w:b/>
          <w:bCs/>
        </w:rPr>
      </w:pPr>
    </w:p>
    <w:p w:rsidR="00D36E23" w:rsidRPr="00911E94" w:rsidRDefault="00D36E23" w:rsidP="00D36E23">
      <w:pPr>
        <w:numPr>
          <w:ilvl w:val="0"/>
          <w:numId w:val="16"/>
        </w:numPr>
        <w:autoSpaceDE w:val="0"/>
        <w:spacing w:after="0" w:line="240" w:lineRule="auto"/>
        <w:jc w:val="both"/>
        <w:rPr>
          <w:rFonts w:ascii="Century Gothic" w:eastAsia="CenturyGothic" w:hAnsi="Century Gothic" w:cs="Arial"/>
        </w:rPr>
      </w:pPr>
      <w:r w:rsidRPr="00911E94">
        <w:rPr>
          <w:rFonts w:ascii="Century Gothic" w:eastAsia="CenturyGothic" w:hAnsi="Century Gothic" w:cs="Arial"/>
        </w:rPr>
        <w:t>Personas con hipersensibilidad a los principios activos o a los excipientes de la vacuna, los cuales deberán consultarse en la ficha técnica de cada preparado.</w:t>
      </w:r>
    </w:p>
    <w:p w:rsidR="00D36E23" w:rsidRPr="00911E94" w:rsidRDefault="00D36E23" w:rsidP="00D36E23">
      <w:pPr>
        <w:numPr>
          <w:ilvl w:val="0"/>
          <w:numId w:val="16"/>
        </w:numPr>
        <w:autoSpaceDE w:val="0"/>
        <w:spacing w:after="0" w:line="240" w:lineRule="auto"/>
        <w:jc w:val="both"/>
        <w:rPr>
          <w:rFonts w:ascii="Century Gothic" w:eastAsia="CenturyGothic" w:hAnsi="Century Gothic" w:cs="Arial"/>
        </w:rPr>
      </w:pPr>
      <w:r w:rsidRPr="00911E94">
        <w:rPr>
          <w:rFonts w:ascii="Century Gothic" w:eastAsia="CenturyGothic" w:hAnsi="Century Gothic" w:cs="Arial"/>
        </w:rPr>
        <w:t>Personas con enfermedad febril (&gt;39ºC mantenida) o infección aguda, en cuyo caso se debe esperar hasta que cedan los síntomas.</w:t>
      </w:r>
    </w:p>
    <w:p w:rsidR="00D36E23" w:rsidRPr="00911E94" w:rsidRDefault="00D36E23" w:rsidP="0081013B">
      <w:pPr>
        <w:numPr>
          <w:ilvl w:val="0"/>
          <w:numId w:val="16"/>
        </w:numPr>
        <w:autoSpaceDE w:val="0"/>
        <w:spacing w:after="0" w:line="240" w:lineRule="auto"/>
        <w:jc w:val="both"/>
        <w:rPr>
          <w:rFonts w:ascii="Century Gothic" w:eastAsia="CenturyGothic" w:hAnsi="Century Gothic" w:cs="Arial"/>
          <w:b/>
          <w:bCs/>
        </w:rPr>
      </w:pPr>
      <w:r w:rsidRPr="00911E94">
        <w:rPr>
          <w:rFonts w:ascii="Century Gothic" w:eastAsia="CenturyGothic" w:hAnsi="Century Gothic" w:cs="Arial"/>
        </w:rPr>
        <w:t>En relación a personas alér</w:t>
      </w:r>
      <w:r w:rsidR="00911E94" w:rsidRPr="00911E94">
        <w:rPr>
          <w:rFonts w:ascii="Century Gothic" w:eastAsia="CenturyGothic" w:hAnsi="Century Gothic" w:cs="Arial"/>
        </w:rPr>
        <w:t>gicas al huevo, según lo ya especificado</w:t>
      </w:r>
      <w:r w:rsidRPr="00911E94">
        <w:rPr>
          <w:rFonts w:ascii="Century Gothic" w:eastAsia="CenturyGothic" w:hAnsi="Century Gothic" w:cs="Arial"/>
        </w:rPr>
        <w:t>.</w:t>
      </w:r>
    </w:p>
    <w:p w:rsidR="0081013B" w:rsidRPr="0081013B" w:rsidRDefault="0081013B" w:rsidP="0081013B">
      <w:pPr>
        <w:autoSpaceDE w:val="0"/>
        <w:spacing w:after="0" w:line="240" w:lineRule="auto"/>
        <w:ind w:left="720"/>
        <w:jc w:val="both"/>
        <w:rPr>
          <w:rStyle w:val="nfasis"/>
          <w:rFonts w:ascii="Century Gothic" w:eastAsia="CenturyGothic" w:hAnsi="Century Gothic" w:cs="Arial"/>
          <w:b/>
          <w:bCs/>
          <w:i w:val="0"/>
          <w:iCs w:val="0"/>
          <w:color w:val="FF0000"/>
        </w:rPr>
      </w:pPr>
    </w:p>
    <w:p w:rsidR="005622BA" w:rsidRDefault="005622BA" w:rsidP="005622BA">
      <w:pPr>
        <w:autoSpaceDE w:val="0"/>
        <w:spacing w:after="0" w:line="240" w:lineRule="auto"/>
        <w:rPr>
          <w:rFonts w:ascii="Century Gothic" w:eastAsia="CenturyGothic" w:hAnsi="Century Gothic" w:cs="Arial"/>
          <w:b/>
          <w:bCs/>
          <w:color w:val="1F497D"/>
        </w:rPr>
      </w:pPr>
    </w:p>
    <w:p w:rsidR="00297454" w:rsidRPr="00297454" w:rsidRDefault="005622BA" w:rsidP="00297454">
      <w:pPr>
        <w:autoSpaceDE w:val="0"/>
        <w:spacing w:after="0" w:line="240" w:lineRule="auto"/>
        <w:rPr>
          <w:rFonts w:ascii="Century Gothic" w:eastAsia="CenturyGothic" w:hAnsi="Century Gothic" w:cs="Arial"/>
          <w:b/>
          <w:bCs/>
          <w:color w:val="0070C0"/>
          <w:sz w:val="28"/>
          <w:szCs w:val="28"/>
        </w:rPr>
      </w:pPr>
      <w:r>
        <w:rPr>
          <w:rFonts w:ascii="Century Gothic" w:eastAsia="CenturyGothic" w:hAnsi="Century Gothic" w:cs="Arial"/>
          <w:b/>
          <w:bCs/>
          <w:color w:val="2E74B5" w:themeColor="accent1" w:themeShade="BF"/>
          <w:sz w:val="28"/>
          <w:szCs w:val="28"/>
        </w:rPr>
        <w:t xml:space="preserve">1.7 </w:t>
      </w:r>
      <w:r w:rsidR="003F3B93">
        <w:rPr>
          <w:rFonts w:ascii="Century Gothic" w:eastAsia="CenturyGothic" w:hAnsi="Century Gothic" w:cs="CenturyGothic"/>
          <w:b/>
          <w:color w:val="0070C0"/>
          <w:sz w:val="28"/>
          <w:szCs w:val="28"/>
        </w:rPr>
        <w:t>E</w:t>
      </w:r>
      <w:r w:rsidR="00297454" w:rsidRPr="00297454">
        <w:rPr>
          <w:rFonts w:ascii="Century Gothic" w:eastAsia="CenturyGothic" w:hAnsi="Century Gothic" w:cs="CenturyGothic"/>
          <w:b/>
          <w:color w:val="0070C0"/>
          <w:sz w:val="28"/>
          <w:szCs w:val="28"/>
        </w:rPr>
        <w:t>fectos secundarios de la vacunación</w:t>
      </w:r>
    </w:p>
    <w:p w:rsidR="00297454" w:rsidRDefault="00297454" w:rsidP="00297454">
      <w:pPr>
        <w:autoSpaceDE w:val="0"/>
        <w:spacing w:after="0" w:line="240" w:lineRule="auto"/>
        <w:jc w:val="both"/>
        <w:rPr>
          <w:rFonts w:ascii="Century Gothic" w:eastAsia="CenturyGothic" w:hAnsi="Century Gothic" w:cs="CenturyGothic"/>
          <w:color w:val="000000"/>
        </w:rPr>
      </w:pPr>
    </w:p>
    <w:p w:rsidR="00297454" w:rsidRDefault="00297454" w:rsidP="00297454">
      <w:pPr>
        <w:autoSpaceDE w:val="0"/>
        <w:spacing w:after="0" w:line="240" w:lineRule="auto"/>
        <w:jc w:val="both"/>
        <w:rPr>
          <w:rFonts w:ascii="Century Gothic" w:eastAsia="CenturyGothic" w:hAnsi="Century Gothic" w:cs="CenturyGothic"/>
          <w:color w:val="000000"/>
        </w:rPr>
      </w:pPr>
      <w:r>
        <w:rPr>
          <w:rFonts w:ascii="Century Gothic" w:eastAsia="CenturyGothic" w:hAnsi="Century Gothic" w:cs="CenturyGothic"/>
          <w:color w:val="000000"/>
        </w:rPr>
        <w:t>La vacunación se asocia con una baja incidencia de efectos secundarios. En caso de presentarse pudieran ser:</w:t>
      </w:r>
    </w:p>
    <w:p w:rsidR="00297454" w:rsidRDefault="00297454" w:rsidP="00297454">
      <w:pPr>
        <w:numPr>
          <w:ilvl w:val="0"/>
          <w:numId w:val="17"/>
        </w:numPr>
        <w:autoSpaceDE w:val="0"/>
        <w:spacing w:after="0" w:line="240" w:lineRule="auto"/>
        <w:jc w:val="both"/>
        <w:rPr>
          <w:rFonts w:ascii="Century Gothic" w:eastAsia="CenturyGothic" w:hAnsi="Century Gothic" w:cs="CenturyGothic"/>
          <w:color w:val="000000"/>
        </w:rPr>
      </w:pPr>
      <w:r>
        <w:rPr>
          <w:rFonts w:ascii="Century Gothic" w:eastAsia="CenturyGothic" w:hAnsi="Century Gothic" w:cs="CenturyGothic"/>
          <w:color w:val="000000"/>
        </w:rPr>
        <w:t>Efectos locales en la zona de administración: enrojecimiento, inflamación, dolor, equimosis e induración.</w:t>
      </w:r>
    </w:p>
    <w:p w:rsidR="00297454" w:rsidRDefault="00297454" w:rsidP="00297454">
      <w:pPr>
        <w:numPr>
          <w:ilvl w:val="0"/>
          <w:numId w:val="17"/>
        </w:numPr>
        <w:autoSpaceDE w:val="0"/>
        <w:spacing w:after="0" w:line="240" w:lineRule="auto"/>
        <w:jc w:val="both"/>
        <w:rPr>
          <w:rFonts w:ascii="Century Gothic" w:eastAsia="CenturyGothic" w:hAnsi="Century Gothic" w:cs="CenturyGothic"/>
          <w:color w:val="000000"/>
        </w:rPr>
      </w:pPr>
      <w:r>
        <w:rPr>
          <w:rFonts w:ascii="Century Gothic" w:eastAsia="CenturyGothic" w:hAnsi="Century Gothic" w:cs="CenturyGothic"/>
          <w:color w:val="000000"/>
        </w:rPr>
        <w:t>Reacciones sistémicas: fiebre, malestar, escalofríos, cansancio, cefalea, sudoración, mialgia, artralgia. Estas reacciones habitualmente desaparecen tras 1-2 días sin necesidad de tratamiento.</w:t>
      </w:r>
    </w:p>
    <w:p w:rsidR="00297454" w:rsidRDefault="00297454" w:rsidP="00297454">
      <w:pPr>
        <w:numPr>
          <w:ilvl w:val="0"/>
          <w:numId w:val="17"/>
        </w:numPr>
        <w:autoSpaceDE w:val="0"/>
        <w:spacing w:after="0" w:line="240" w:lineRule="auto"/>
        <w:jc w:val="both"/>
        <w:rPr>
          <w:rFonts w:ascii="Century Gothic" w:eastAsia="CenturyGothic" w:hAnsi="Century Gothic" w:cs="CenturyGothic"/>
          <w:color w:val="000000"/>
        </w:rPr>
      </w:pPr>
      <w:r>
        <w:rPr>
          <w:rFonts w:ascii="Century Gothic" w:eastAsia="CenturyGothic" w:hAnsi="Century Gothic" w:cs="CenturyGothic"/>
          <w:color w:val="000000"/>
        </w:rPr>
        <w:t>Poco frecuentes: Reacciones generalizadas de la piel incluido prurito, urticaria o erupciones no específicas.</w:t>
      </w:r>
    </w:p>
    <w:p w:rsidR="00297454" w:rsidRDefault="00297454" w:rsidP="00297454">
      <w:pPr>
        <w:numPr>
          <w:ilvl w:val="0"/>
          <w:numId w:val="17"/>
        </w:numPr>
        <w:autoSpaceDE w:val="0"/>
        <w:spacing w:after="0" w:line="240" w:lineRule="auto"/>
        <w:jc w:val="both"/>
        <w:rPr>
          <w:rFonts w:ascii="Century Gothic" w:eastAsia="CenturyGothic" w:hAnsi="Century Gothic" w:cs="CenturyGothic"/>
          <w:color w:val="000000"/>
        </w:rPr>
      </w:pPr>
      <w:r>
        <w:rPr>
          <w:rFonts w:ascii="Century Gothic" w:eastAsia="CenturyGothic" w:hAnsi="Century Gothic" w:cs="CenturyGothic"/>
          <w:color w:val="000000"/>
        </w:rPr>
        <w:t>Raras. Neurológicas: parestesias, convulsiones; trombocitopenia transitoria.</w:t>
      </w:r>
    </w:p>
    <w:p w:rsidR="00297454" w:rsidRDefault="00297454" w:rsidP="00297454">
      <w:pPr>
        <w:numPr>
          <w:ilvl w:val="0"/>
          <w:numId w:val="17"/>
        </w:numPr>
        <w:autoSpaceDE w:val="0"/>
        <w:spacing w:after="0" w:line="240" w:lineRule="auto"/>
        <w:jc w:val="both"/>
        <w:rPr>
          <w:rFonts w:ascii="Century Gothic" w:eastAsia="CenturyGothic" w:hAnsi="Century Gothic" w:cs="CenturyGothic"/>
          <w:color w:val="000000"/>
        </w:rPr>
      </w:pPr>
      <w:r>
        <w:rPr>
          <w:rFonts w:ascii="Century Gothic" w:eastAsia="CenturyGothic" w:hAnsi="Century Gothic" w:cs="CenturyGothic"/>
          <w:color w:val="000000"/>
        </w:rPr>
        <w:t>Se han notificado reacciones alérgicas que raramente han desencadenado un shock.</w:t>
      </w:r>
    </w:p>
    <w:p w:rsidR="00297454" w:rsidRPr="00E8124E" w:rsidRDefault="00297454" w:rsidP="00297454">
      <w:pPr>
        <w:numPr>
          <w:ilvl w:val="0"/>
          <w:numId w:val="17"/>
        </w:numPr>
        <w:autoSpaceDE w:val="0"/>
        <w:spacing w:after="0" w:line="240" w:lineRule="auto"/>
        <w:jc w:val="both"/>
        <w:rPr>
          <w:rFonts w:ascii="Century Gothic" w:eastAsia="CenturyGothic" w:hAnsi="Century Gothic" w:cs="CenturyGothic"/>
          <w:b/>
          <w:bCs/>
          <w:color w:val="FF0000"/>
        </w:rPr>
      </w:pPr>
      <w:r>
        <w:rPr>
          <w:rFonts w:ascii="Century Gothic" w:eastAsia="CenturyGothic" w:hAnsi="Century Gothic" w:cs="CenturyGothic"/>
          <w:color w:val="000000"/>
        </w:rPr>
        <w:t xml:space="preserve">Muy raras: Vasculitis con implicación renal transitoria y eritema multiforme de exudación. Reacciones neurológicas, como encefalomielitis, neuritis y síndrome de Guillain-Barre. Astenia, síntomas pseudogripales, dolor en las extremidades, debilidad muscular, </w:t>
      </w:r>
      <w:r w:rsidRPr="00C35FD1">
        <w:rPr>
          <w:rFonts w:ascii="Century Gothic" w:eastAsia="CenturyGothic" w:hAnsi="Century Gothic" w:cs="CenturyGothic"/>
        </w:rPr>
        <w:t>linfadenopatía</w:t>
      </w:r>
      <w:r w:rsidR="00C35FD1" w:rsidRPr="00C35FD1">
        <w:rPr>
          <w:rFonts w:ascii="Century Gothic" w:eastAsia="CenturyGothic" w:hAnsi="Century Gothic" w:cs="CenturyGothic"/>
        </w:rPr>
        <w:t>.</w:t>
      </w:r>
    </w:p>
    <w:p w:rsidR="00297454" w:rsidRDefault="00297454" w:rsidP="005622BA">
      <w:pPr>
        <w:autoSpaceDE w:val="0"/>
        <w:spacing w:after="0" w:line="240" w:lineRule="auto"/>
        <w:rPr>
          <w:rFonts w:ascii="Century Gothic" w:eastAsia="CenturyGothic" w:hAnsi="Century Gothic" w:cs="Arial"/>
          <w:b/>
          <w:bCs/>
          <w:color w:val="2E74B5" w:themeColor="accent1" w:themeShade="BF"/>
          <w:sz w:val="28"/>
          <w:szCs w:val="28"/>
        </w:rPr>
      </w:pPr>
    </w:p>
    <w:p w:rsidR="00D36E23" w:rsidRPr="00E8124E" w:rsidRDefault="00297454" w:rsidP="005622BA">
      <w:pPr>
        <w:autoSpaceDE w:val="0"/>
        <w:spacing w:after="0" w:line="240" w:lineRule="auto"/>
        <w:rPr>
          <w:rFonts w:ascii="Century Gothic" w:eastAsia="CenturyGothic" w:hAnsi="Century Gothic" w:cs="CenturyGothic"/>
          <w:b/>
          <w:bCs/>
          <w:color w:val="FF0000"/>
        </w:rPr>
      </w:pPr>
      <w:r>
        <w:rPr>
          <w:rFonts w:ascii="Century Gothic" w:eastAsia="CenturyGothic" w:hAnsi="Century Gothic" w:cs="Arial"/>
          <w:b/>
          <w:bCs/>
          <w:color w:val="2E74B5" w:themeColor="accent1" w:themeShade="BF"/>
          <w:sz w:val="28"/>
          <w:szCs w:val="28"/>
        </w:rPr>
        <w:t xml:space="preserve">1.8 </w:t>
      </w:r>
      <w:r w:rsidR="00BE5C6D">
        <w:rPr>
          <w:rFonts w:ascii="Century Gothic" w:eastAsia="CenturyGothic" w:hAnsi="Century Gothic" w:cs="Arial"/>
          <w:b/>
          <w:bCs/>
          <w:color w:val="2E74B5" w:themeColor="accent1" w:themeShade="BF"/>
          <w:sz w:val="28"/>
          <w:szCs w:val="28"/>
        </w:rPr>
        <w:t>Registro y notificación</w:t>
      </w:r>
      <w:r w:rsidR="005622BA">
        <w:rPr>
          <w:rFonts w:ascii="Century Gothic" w:eastAsia="CenturyGothic" w:hAnsi="Century Gothic" w:cs="Arial"/>
          <w:b/>
          <w:bCs/>
          <w:color w:val="2E74B5" w:themeColor="accent1" w:themeShade="BF"/>
          <w:sz w:val="28"/>
          <w:szCs w:val="28"/>
        </w:rPr>
        <w:t xml:space="preserve"> </w:t>
      </w:r>
    </w:p>
    <w:p w:rsidR="00297454" w:rsidRPr="00672862" w:rsidRDefault="00297454" w:rsidP="00297454">
      <w:pPr>
        <w:autoSpaceDE w:val="0"/>
        <w:spacing w:after="0" w:line="240" w:lineRule="auto"/>
        <w:jc w:val="both"/>
        <w:rPr>
          <w:rFonts w:ascii="Century Gothic" w:eastAsia="CenturyGothic" w:hAnsi="Century Gothic" w:cs="CenturyGothic"/>
          <w:b/>
          <w:bCs/>
          <w:sz w:val="20"/>
          <w:szCs w:val="20"/>
        </w:rPr>
      </w:pPr>
    </w:p>
    <w:p w:rsidR="00297454" w:rsidRDefault="00297454" w:rsidP="00297454">
      <w:pPr>
        <w:autoSpaceDE w:val="0"/>
        <w:spacing w:after="0" w:line="240" w:lineRule="auto"/>
        <w:jc w:val="both"/>
        <w:rPr>
          <w:rFonts w:ascii="Century Gothic" w:eastAsia="CenturyGothic" w:hAnsi="Century Gothic" w:cs="CenturyGothic"/>
          <w:b/>
          <w:bCs/>
        </w:rPr>
      </w:pPr>
      <w:r>
        <w:rPr>
          <w:rFonts w:ascii="Century Gothic" w:eastAsia="CenturyGothic" w:hAnsi="Century Gothic" w:cs="CenturyGothic"/>
          <w:b/>
          <w:bCs/>
        </w:rPr>
        <w:t>1.8.1</w:t>
      </w:r>
      <w:r w:rsidR="001F7B34">
        <w:rPr>
          <w:rFonts w:ascii="Century Gothic" w:eastAsia="CenturyGothic" w:hAnsi="Century Gothic" w:cs="CenturyGothic"/>
          <w:b/>
          <w:bCs/>
        </w:rPr>
        <w:t>).-</w:t>
      </w:r>
      <w:r>
        <w:rPr>
          <w:rFonts w:ascii="Century Gothic" w:eastAsia="CenturyGothic" w:hAnsi="Century Gothic" w:cs="CenturyGothic"/>
          <w:b/>
          <w:bCs/>
        </w:rPr>
        <w:t xml:space="preserve"> Vacunas administradas</w:t>
      </w:r>
    </w:p>
    <w:p w:rsidR="00297454" w:rsidRDefault="00297454" w:rsidP="00297454">
      <w:pPr>
        <w:autoSpaceDE w:val="0"/>
        <w:spacing w:after="0" w:line="240" w:lineRule="auto"/>
        <w:jc w:val="both"/>
        <w:rPr>
          <w:rFonts w:ascii="Century Gothic" w:eastAsia="CenturyGothic" w:hAnsi="Century Gothic" w:cs="CenturyGothic"/>
          <w:b/>
          <w:bCs/>
        </w:rPr>
      </w:pPr>
    </w:p>
    <w:p w:rsidR="00297454" w:rsidRDefault="00297454" w:rsidP="00297454">
      <w:pPr>
        <w:autoSpaceDE w:val="0"/>
        <w:spacing w:after="0" w:line="240" w:lineRule="auto"/>
        <w:jc w:val="both"/>
        <w:rPr>
          <w:rFonts w:ascii="Century Gothic" w:eastAsia="CenturyGothic" w:hAnsi="Century Gothic" w:cs="CenturyGothic"/>
          <w:b/>
          <w:bCs/>
        </w:rPr>
      </w:pPr>
      <w:r w:rsidRPr="0081013B">
        <w:rPr>
          <w:rFonts w:ascii="Century Gothic" w:eastAsia="CenturyGothic" w:hAnsi="Century Gothic" w:cs="CenturyGothic"/>
          <w:b/>
          <w:bCs/>
        </w:rPr>
        <w:t>Deben registrarse todas vacunas administradas</w:t>
      </w:r>
    </w:p>
    <w:p w:rsidR="005622BA" w:rsidRDefault="005622BA" w:rsidP="00D36E23">
      <w:pPr>
        <w:autoSpaceDE w:val="0"/>
        <w:spacing w:after="0" w:line="240" w:lineRule="auto"/>
        <w:jc w:val="both"/>
        <w:rPr>
          <w:rFonts w:ascii="Century Gothic" w:eastAsia="CenturyGothic" w:hAnsi="Century Gothic" w:cs="CenturyGothic"/>
          <w:bCs/>
        </w:rPr>
      </w:pPr>
    </w:p>
    <w:p w:rsidR="00D36E23" w:rsidRDefault="00D36E23" w:rsidP="00D36E23">
      <w:pPr>
        <w:autoSpaceDE w:val="0"/>
        <w:spacing w:after="0" w:line="240" w:lineRule="auto"/>
        <w:jc w:val="both"/>
        <w:rPr>
          <w:rFonts w:ascii="Century Gothic" w:eastAsia="CenturyGothic" w:hAnsi="Century Gothic" w:cs="CenturyGothic"/>
          <w:bCs/>
        </w:rPr>
      </w:pPr>
      <w:r>
        <w:rPr>
          <w:rFonts w:ascii="Century Gothic" w:eastAsia="CenturyGothic" w:hAnsi="Century Gothic" w:cs="CenturyGothic"/>
          <w:bCs/>
        </w:rPr>
        <w:t>Si una persona no pertenece a la zona básica de salud o no figura en OMI (por ejemplo, porque es de una mutualidad), l</w:t>
      </w:r>
      <w:r w:rsidR="00482523">
        <w:rPr>
          <w:rFonts w:ascii="Century Gothic" w:eastAsia="CenturyGothic" w:hAnsi="Century Gothic" w:cs="CenturyGothic"/>
          <w:bCs/>
        </w:rPr>
        <w:t xml:space="preserve">os datos imprescindibles que se deben recoger en su historia en OMI para </w:t>
      </w:r>
      <w:r>
        <w:rPr>
          <w:rFonts w:ascii="Century Gothic" w:eastAsia="CenturyGothic" w:hAnsi="Century Gothic" w:cs="CenturyGothic"/>
          <w:bCs/>
        </w:rPr>
        <w:t>registrar la vacuna son:</w:t>
      </w:r>
    </w:p>
    <w:p w:rsidR="00482523" w:rsidRDefault="00482523" w:rsidP="00D36E23">
      <w:pPr>
        <w:autoSpaceDE w:val="0"/>
        <w:spacing w:after="0" w:line="240" w:lineRule="auto"/>
        <w:jc w:val="both"/>
        <w:rPr>
          <w:rFonts w:ascii="Century Gothic" w:eastAsia="CenturyGothic" w:hAnsi="Century Gothic" w:cs="CenturyGothic"/>
          <w:bCs/>
        </w:rPr>
      </w:pP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Apellidos.</w:t>
      </w: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Nombre</w:t>
      </w: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Fecha de nacimiento</w:t>
      </w: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Lugar de nacimiento</w:t>
      </w: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NIF</w:t>
      </w: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Domicilio</w:t>
      </w: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Teléfono</w:t>
      </w: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Entidad (Seguridad Social, MUFACE, etc.)</w:t>
      </w:r>
    </w:p>
    <w:p w:rsidR="00D36E23" w:rsidRPr="008F3135" w:rsidRDefault="00D36E23" w:rsidP="00D36E23">
      <w:pPr>
        <w:autoSpaceDE w:val="0"/>
        <w:spacing w:after="0" w:line="240" w:lineRule="auto"/>
        <w:jc w:val="both"/>
        <w:rPr>
          <w:rFonts w:ascii="Century Gothic" w:eastAsia="CenturyGothic" w:hAnsi="Century Gothic" w:cs="CenturyGothic"/>
          <w:b/>
          <w:bCs/>
        </w:rPr>
      </w:pPr>
      <w:r w:rsidRPr="008F3135">
        <w:rPr>
          <w:rFonts w:ascii="Century Gothic" w:eastAsia="CenturyGothic" w:hAnsi="Century Gothic" w:cs="CenturyGothic"/>
          <w:b/>
          <w:bCs/>
        </w:rPr>
        <w:t xml:space="preserve">· </w:t>
      </w:r>
      <w:r w:rsidRPr="008F3135">
        <w:rPr>
          <w:rFonts w:ascii="Century Gothic" w:eastAsia="CenturyGothic" w:hAnsi="Century Gothic" w:cs="CenturyGothic"/>
          <w:bCs/>
        </w:rPr>
        <w:t>Si dispone de seguridad Social:</w:t>
      </w:r>
      <w:r w:rsidRPr="008F3135">
        <w:rPr>
          <w:rFonts w:ascii="Century Gothic" w:eastAsia="CenturyGothic" w:hAnsi="Century Gothic" w:cs="CenturyGothic"/>
          <w:b/>
          <w:bCs/>
        </w:rPr>
        <w:t xml:space="preserve"> Nº de afiliación</w:t>
      </w:r>
    </w:p>
    <w:p w:rsidR="0081013B" w:rsidRPr="0081013B" w:rsidRDefault="0081013B" w:rsidP="00D36E23">
      <w:pPr>
        <w:autoSpaceDE w:val="0"/>
        <w:spacing w:after="0" w:line="240" w:lineRule="auto"/>
        <w:jc w:val="both"/>
        <w:rPr>
          <w:rFonts w:ascii="Century Gothic" w:eastAsia="CenturyGothic" w:hAnsi="Century Gothic" w:cs="CenturyGothic"/>
          <w:b/>
          <w:bCs/>
        </w:rPr>
      </w:pPr>
    </w:p>
    <w:p w:rsidR="00D36E23" w:rsidRDefault="00D36E23" w:rsidP="00D36E23">
      <w:pPr>
        <w:autoSpaceDE w:val="0"/>
        <w:spacing w:after="0" w:line="240" w:lineRule="auto"/>
        <w:jc w:val="both"/>
        <w:rPr>
          <w:rFonts w:ascii="Century Gothic" w:eastAsia="CenturyGothic" w:hAnsi="Century Gothic" w:cs="CenturyGothic"/>
          <w:color w:val="000000"/>
        </w:rPr>
      </w:pPr>
      <w:r>
        <w:rPr>
          <w:rFonts w:ascii="Century Gothic" w:eastAsia="CenturyGothic" w:hAnsi="Century Gothic" w:cs="CenturyGothic"/>
          <w:bCs/>
        </w:rPr>
        <w:t>Es importante que toda vacuna puesta sea registrada en la historia informatizada del paciente</w:t>
      </w:r>
      <w:r w:rsidR="0081013B">
        <w:rPr>
          <w:rFonts w:ascii="Century Gothic" w:eastAsia="CenturyGothic" w:hAnsi="Century Gothic" w:cs="CenturyGothic"/>
          <w:bCs/>
        </w:rPr>
        <w:t>.</w:t>
      </w:r>
    </w:p>
    <w:p w:rsidR="00297454" w:rsidRDefault="00297454" w:rsidP="00D36E23">
      <w:pPr>
        <w:autoSpaceDE w:val="0"/>
        <w:spacing w:after="0" w:line="240" w:lineRule="auto"/>
        <w:jc w:val="both"/>
        <w:rPr>
          <w:rFonts w:ascii="Century Gothic" w:eastAsia="CenturyGothic" w:hAnsi="Century Gothic" w:cs="CenturyGothic"/>
          <w:b/>
          <w:bCs/>
        </w:rPr>
      </w:pPr>
    </w:p>
    <w:p w:rsidR="00297454" w:rsidRPr="00482523" w:rsidRDefault="00297454" w:rsidP="00D36E23">
      <w:pPr>
        <w:autoSpaceDE w:val="0"/>
        <w:spacing w:after="0" w:line="240" w:lineRule="auto"/>
        <w:jc w:val="both"/>
        <w:rPr>
          <w:rFonts w:ascii="Century Gothic" w:eastAsia="CenturyGothic" w:hAnsi="Century Gothic" w:cs="CenturyGothic"/>
          <w:b/>
          <w:bCs/>
        </w:rPr>
      </w:pPr>
    </w:p>
    <w:p w:rsidR="00D36E23" w:rsidRPr="00482523" w:rsidRDefault="00297454" w:rsidP="00D36E23">
      <w:pPr>
        <w:autoSpaceDE w:val="0"/>
        <w:spacing w:after="0" w:line="240" w:lineRule="auto"/>
        <w:jc w:val="both"/>
        <w:rPr>
          <w:rFonts w:ascii="Century Gothic" w:eastAsia="CenturyGothic" w:hAnsi="Century Gothic" w:cs="CenturyGothic"/>
          <w:b/>
          <w:bCs/>
        </w:rPr>
      </w:pPr>
      <w:r w:rsidRPr="00482523">
        <w:rPr>
          <w:rFonts w:ascii="Century Gothic" w:eastAsia="CenturyGothic" w:hAnsi="Century Gothic" w:cs="CenturyGothic"/>
          <w:b/>
          <w:bCs/>
        </w:rPr>
        <w:t>1.8.2</w:t>
      </w:r>
      <w:r w:rsidR="001F7B34">
        <w:rPr>
          <w:rFonts w:ascii="Century Gothic" w:eastAsia="CenturyGothic" w:hAnsi="Century Gothic" w:cs="CenturyGothic"/>
          <w:b/>
          <w:bCs/>
        </w:rPr>
        <w:t>).-</w:t>
      </w:r>
      <w:r w:rsidRPr="00482523">
        <w:rPr>
          <w:rFonts w:ascii="Century Gothic" w:eastAsia="CenturyGothic" w:hAnsi="Century Gothic" w:cs="CenturyGothic"/>
          <w:b/>
          <w:bCs/>
        </w:rPr>
        <w:t xml:space="preserve"> </w:t>
      </w:r>
      <w:r w:rsidR="00D36E23" w:rsidRPr="00482523">
        <w:rPr>
          <w:rFonts w:ascii="Century Gothic" w:eastAsia="CenturyGothic" w:hAnsi="Century Gothic" w:cs="CenturyGothic"/>
          <w:b/>
          <w:bCs/>
        </w:rPr>
        <w:t>Comunicación de reacciones adversas</w:t>
      </w:r>
    </w:p>
    <w:p w:rsidR="00297454" w:rsidRDefault="00297454" w:rsidP="00D36E23">
      <w:pPr>
        <w:autoSpaceDE w:val="0"/>
        <w:spacing w:after="0" w:line="240" w:lineRule="auto"/>
        <w:jc w:val="both"/>
        <w:rPr>
          <w:rFonts w:ascii="Century Gothic" w:eastAsia="CenturyGothic" w:hAnsi="Century Gothic" w:cs="CenturyGothic"/>
          <w:b/>
          <w:bCs/>
        </w:rPr>
      </w:pPr>
    </w:p>
    <w:p w:rsidR="00297454" w:rsidRPr="00297454" w:rsidRDefault="00297454" w:rsidP="00D36E23">
      <w:pPr>
        <w:autoSpaceDE w:val="0"/>
        <w:spacing w:after="0" w:line="240" w:lineRule="auto"/>
        <w:jc w:val="both"/>
        <w:rPr>
          <w:rFonts w:ascii="Century Gothic" w:eastAsia="CenturyGothic" w:hAnsi="Century Gothic" w:cs="CenturyGothic"/>
          <w:b/>
          <w:bCs/>
        </w:rPr>
      </w:pPr>
      <w:r w:rsidRPr="0081013B">
        <w:rPr>
          <w:rFonts w:ascii="Century Gothic" w:eastAsia="CenturyGothic" w:hAnsi="Century Gothic" w:cs="CenturyGothic"/>
          <w:b/>
          <w:bCs/>
        </w:rPr>
        <w:t>Deben registrarse todas</w:t>
      </w:r>
      <w:r>
        <w:rPr>
          <w:rFonts w:ascii="Century Gothic" w:eastAsia="CenturyGothic" w:hAnsi="Century Gothic" w:cs="CenturyGothic"/>
          <w:b/>
          <w:bCs/>
        </w:rPr>
        <w:t xml:space="preserve"> las reacciones adversas</w:t>
      </w:r>
    </w:p>
    <w:p w:rsidR="00D36E23" w:rsidRDefault="00D36E23" w:rsidP="00D36E23">
      <w:pPr>
        <w:autoSpaceDE w:val="0"/>
        <w:spacing w:after="0" w:line="240" w:lineRule="auto"/>
        <w:jc w:val="both"/>
        <w:rPr>
          <w:rFonts w:ascii="Century Gothic" w:eastAsia="CenturyGothic" w:hAnsi="Century Gothic" w:cs="CenturyGothic"/>
          <w:b/>
          <w:bCs/>
        </w:rPr>
      </w:pPr>
    </w:p>
    <w:p w:rsidR="00D36E23" w:rsidRDefault="00D36E23" w:rsidP="00D36E23">
      <w:pPr>
        <w:autoSpaceDE w:val="0"/>
        <w:spacing w:after="0" w:line="240" w:lineRule="auto"/>
        <w:jc w:val="both"/>
        <w:rPr>
          <w:rFonts w:ascii="Century Gothic" w:eastAsia="CenturyGothic" w:hAnsi="Century Gothic" w:cs="CenturyGothic"/>
          <w:b/>
          <w:bCs/>
          <w:color w:val="000000"/>
        </w:rPr>
      </w:pPr>
      <w:r>
        <w:rPr>
          <w:rFonts w:ascii="Century Gothic" w:eastAsia="CenturyGothic" w:hAnsi="Century Gothic" w:cs="CenturyGothic"/>
          <w:color w:val="000000"/>
        </w:rPr>
        <w:t>Cualquier reacción adversa de carácter relevante (inmediata o aplazada) que se considere asociada a la vacunación antigripal, debe quedar registrada en OMI y ser comunicada, de manera inmediata, a la Unidad de Vacunas de la Dirección General de Salud Pública a través del correo electrónico del Buzón de vacunas:</w:t>
      </w:r>
    </w:p>
    <w:p w:rsidR="00D36E23" w:rsidRDefault="00D36E23" w:rsidP="00D36E23">
      <w:pPr>
        <w:autoSpaceDE w:val="0"/>
        <w:spacing w:after="0" w:line="240" w:lineRule="auto"/>
        <w:jc w:val="both"/>
        <w:rPr>
          <w:rFonts w:ascii="Century Gothic" w:eastAsia="CenturyGothic" w:hAnsi="Century Gothic" w:cs="CenturyGothic"/>
          <w:b/>
          <w:bCs/>
          <w:color w:val="000000"/>
        </w:rPr>
      </w:pPr>
      <w:r>
        <w:rPr>
          <w:rFonts w:ascii="Century Gothic" w:eastAsia="CenturyGothic" w:hAnsi="Century Gothic" w:cs="CenturyGothic"/>
          <w:b/>
          <w:bCs/>
          <w:color w:val="000000"/>
        </w:rPr>
        <w:t>vacunassanidad@cantabria.es</w:t>
      </w:r>
    </w:p>
    <w:p w:rsidR="00D36E23" w:rsidRDefault="00D36E23" w:rsidP="00D36E23">
      <w:pPr>
        <w:autoSpaceDE w:val="0"/>
        <w:spacing w:after="0" w:line="240" w:lineRule="auto"/>
        <w:jc w:val="both"/>
        <w:rPr>
          <w:rFonts w:ascii="Century Gothic" w:eastAsia="CenturyGothic" w:hAnsi="Century Gothic" w:cs="CenturyGothic"/>
          <w:b/>
          <w:bCs/>
          <w:color w:val="000000"/>
        </w:rPr>
      </w:pPr>
    </w:p>
    <w:p w:rsidR="00482523" w:rsidRDefault="00D36E23" w:rsidP="00D36E23">
      <w:pPr>
        <w:autoSpaceDE w:val="0"/>
        <w:spacing w:after="0" w:line="240" w:lineRule="auto"/>
        <w:jc w:val="both"/>
        <w:rPr>
          <w:rFonts w:ascii="Century Gothic" w:eastAsia="CenturyGothic" w:hAnsi="Century Gothic" w:cs="CenturyGothic"/>
          <w:color w:val="000000"/>
        </w:rPr>
      </w:pPr>
      <w:r>
        <w:rPr>
          <w:rFonts w:ascii="Century Gothic" w:eastAsia="CenturyGothic" w:hAnsi="Century Gothic" w:cs="CenturyGothic"/>
          <w:b/>
          <w:bCs/>
          <w:color w:val="000000"/>
        </w:rPr>
        <w:t>Información mínima a comunicar (6 datos esenciales)</w:t>
      </w:r>
      <w:r>
        <w:rPr>
          <w:rFonts w:ascii="Century Gothic" w:eastAsia="CenturyGothic" w:hAnsi="Century Gothic" w:cs="CenturyGothic"/>
          <w:color w:val="000000"/>
        </w:rPr>
        <w:t>:</w:t>
      </w:r>
    </w:p>
    <w:p w:rsidR="00D36E23" w:rsidRPr="003F3B93" w:rsidRDefault="00D36E23" w:rsidP="00D36E23">
      <w:pPr>
        <w:autoSpaceDE w:val="0"/>
        <w:spacing w:after="0" w:line="240" w:lineRule="auto"/>
        <w:jc w:val="both"/>
        <w:rPr>
          <w:rFonts w:ascii="Century Gothic" w:eastAsia="CenturyGothic" w:hAnsi="Century Gothic" w:cs="Arial"/>
          <w:b/>
          <w:color w:val="000000"/>
        </w:rPr>
      </w:pPr>
      <w:r>
        <w:rPr>
          <w:rFonts w:ascii="Century Gothic" w:eastAsia="CenturyGothic" w:hAnsi="Century Gothic" w:cs="CenturyGothic"/>
          <w:color w:val="000000"/>
        </w:rPr>
        <w:t xml:space="preserve"> </w:t>
      </w:r>
    </w:p>
    <w:p w:rsidR="00D36E23" w:rsidRPr="003F3B93" w:rsidRDefault="00D36E23" w:rsidP="00D36E23">
      <w:pPr>
        <w:numPr>
          <w:ilvl w:val="0"/>
          <w:numId w:val="31"/>
        </w:numPr>
        <w:autoSpaceDE w:val="0"/>
        <w:spacing w:after="0" w:line="240" w:lineRule="auto"/>
        <w:jc w:val="both"/>
        <w:rPr>
          <w:rFonts w:ascii="Century Gothic" w:eastAsia="CenturyGothic" w:hAnsi="Century Gothic" w:cs="Arial"/>
          <w:b/>
          <w:color w:val="000000"/>
        </w:rPr>
      </w:pPr>
      <w:r w:rsidRPr="003F3B93">
        <w:rPr>
          <w:rFonts w:ascii="Century Gothic" w:eastAsia="CenturyGothic" w:hAnsi="Century Gothic" w:cs="Arial"/>
          <w:b/>
          <w:color w:val="000000"/>
        </w:rPr>
        <w:t>Nombre de la vacuna</w:t>
      </w:r>
    </w:p>
    <w:p w:rsidR="00D36E23" w:rsidRPr="003F3B93" w:rsidRDefault="00D36E23" w:rsidP="00D36E23">
      <w:pPr>
        <w:numPr>
          <w:ilvl w:val="0"/>
          <w:numId w:val="31"/>
        </w:numPr>
        <w:autoSpaceDE w:val="0"/>
        <w:spacing w:after="0" w:line="240" w:lineRule="auto"/>
        <w:jc w:val="both"/>
        <w:rPr>
          <w:rFonts w:ascii="Century Gothic" w:eastAsia="CenturyGothic" w:hAnsi="Century Gothic" w:cs="Arial"/>
          <w:b/>
          <w:color w:val="000000"/>
        </w:rPr>
      </w:pPr>
      <w:r w:rsidRPr="003F3B93">
        <w:rPr>
          <w:rFonts w:ascii="Century Gothic" w:eastAsia="CenturyGothic" w:hAnsi="Century Gothic" w:cs="Arial"/>
          <w:b/>
          <w:color w:val="000000"/>
        </w:rPr>
        <w:t xml:space="preserve">Lote. </w:t>
      </w:r>
    </w:p>
    <w:p w:rsidR="00D36E23" w:rsidRPr="003F3B93" w:rsidRDefault="00D36E23" w:rsidP="00D36E23">
      <w:pPr>
        <w:numPr>
          <w:ilvl w:val="0"/>
          <w:numId w:val="31"/>
        </w:numPr>
        <w:autoSpaceDE w:val="0"/>
        <w:spacing w:after="0" w:line="240" w:lineRule="auto"/>
        <w:jc w:val="both"/>
        <w:rPr>
          <w:rFonts w:ascii="Century Gothic" w:eastAsia="CenturyGothic" w:hAnsi="Century Gothic" w:cs="Arial"/>
          <w:b/>
          <w:color w:val="000000"/>
        </w:rPr>
      </w:pPr>
      <w:r w:rsidRPr="003F3B93">
        <w:rPr>
          <w:rFonts w:ascii="Century Gothic" w:eastAsia="CenturyGothic" w:hAnsi="Century Gothic" w:cs="Arial"/>
          <w:b/>
          <w:color w:val="000000"/>
        </w:rPr>
        <w:t>Nombre, apellidos y fecha de nacimiento de la persona afectada.</w:t>
      </w:r>
    </w:p>
    <w:p w:rsidR="00D36E23" w:rsidRPr="003F3B93" w:rsidRDefault="00D36E23" w:rsidP="00D36E23">
      <w:pPr>
        <w:numPr>
          <w:ilvl w:val="0"/>
          <w:numId w:val="31"/>
        </w:numPr>
        <w:autoSpaceDE w:val="0"/>
        <w:spacing w:after="0" w:line="240" w:lineRule="auto"/>
        <w:jc w:val="both"/>
        <w:rPr>
          <w:rFonts w:ascii="Century Gothic" w:eastAsia="CenturyGothic" w:hAnsi="Century Gothic" w:cs="Arial"/>
          <w:b/>
          <w:color w:val="000000"/>
        </w:rPr>
      </w:pPr>
      <w:r w:rsidRPr="003F3B93">
        <w:rPr>
          <w:rFonts w:ascii="Century Gothic" w:eastAsia="CenturyGothic" w:hAnsi="Century Gothic" w:cs="Arial"/>
          <w:b/>
          <w:color w:val="000000"/>
        </w:rPr>
        <w:t>Fecha de administración.</w:t>
      </w:r>
    </w:p>
    <w:p w:rsidR="00D36E23" w:rsidRPr="003F3B93" w:rsidRDefault="00D36E23" w:rsidP="00D36E23">
      <w:pPr>
        <w:numPr>
          <w:ilvl w:val="0"/>
          <w:numId w:val="31"/>
        </w:numPr>
        <w:autoSpaceDE w:val="0"/>
        <w:spacing w:after="0" w:line="240" w:lineRule="auto"/>
        <w:jc w:val="both"/>
        <w:rPr>
          <w:rFonts w:ascii="Century Gothic" w:eastAsia="CenturyGothic" w:hAnsi="Century Gothic" w:cs="Arial"/>
          <w:b/>
          <w:color w:val="000000"/>
        </w:rPr>
      </w:pPr>
      <w:r w:rsidRPr="003F3B93">
        <w:rPr>
          <w:rFonts w:ascii="Century Gothic" w:eastAsia="CenturyGothic" w:hAnsi="Century Gothic" w:cs="Arial"/>
          <w:b/>
          <w:color w:val="000000"/>
        </w:rPr>
        <w:t xml:space="preserve">Fecha de inicio de síntomas. </w:t>
      </w:r>
    </w:p>
    <w:p w:rsidR="00D36E23" w:rsidRPr="003F3B93" w:rsidRDefault="00D36E23" w:rsidP="00D36E23">
      <w:pPr>
        <w:numPr>
          <w:ilvl w:val="0"/>
          <w:numId w:val="31"/>
        </w:numPr>
        <w:autoSpaceDE w:val="0"/>
        <w:spacing w:after="0" w:line="240" w:lineRule="auto"/>
        <w:jc w:val="both"/>
        <w:rPr>
          <w:rFonts w:ascii="Century Gothic" w:hAnsi="Century Gothic" w:cs="Arial"/>
          <w:b/>
        </w:rPr>
      </w:pPr>
      <w:r w:rsidRPr="003F3B93">
        <w:rPr>
          <w:rFonts w:ascii="Century Gothic" w:eastAsia="CenturyGothic" w:hAnsi="Century Gothic" w:cs="Arial"/>
          <w:b/>
          <w:color w:val="000000"/>
        </w:rPr>
        <w:t>Tipo de reacción adversa sufrida y gravedad.</w:t>
      </w:r>
    </w:p>
    <w:p w:rsidR="00D36E23" w:rsidRDefault="00D36E23" w:rsidP="00D36E23">
      <w:pPr>
        <w:shd w:val="clear" w:color="auto" w:fill="FFFFFF"/>
        <w:spacing w:after="280" w:line="240" w:lineRule="auto"/>
        <w:jc w:val="both"/>
        <w:rPr>
          <w:rStyle w:val="nfasis"/>
          <w:rFonts w:ascii="Century Gothic" w:hAnsi="Century Gothic"/>
        </w:rPr>
      </w:pPr>
    </w:p>
    <w:p w:rsidR="005622BA" w:rsidRPr="00614F58" w:rsidRDefault="00593AC4" w:rsidP="005622BA">
      <w:pPr>
        <w:autoSpaceDE w:val="0"/>
        <w:spacing w:before="240" w:after="0" w:line="240" w:lineRule="auto"/>
        <w:jc w:val="both"/>
        <w:rPr>
          <w:rFonts w:ascii="Century Gothic" w:eastAsia="CenturyGothic" w:hAnsi="Century Gothic" w:cs="Arial"/>
          <w:color w:val="2E74B5" w:themeColor="accent1" w:themeShade="BF"/>
        </w:rPr>
      </w:pPr>
      <w:r w:rsidRPr="00CA5A64">
        <w:rPr>
          <w:rFonts w:ascii="Century Gothic" w:eastAsia="CenturyGothic" w:hAnsi="Century Gothic" w:cs="Arial"/>
          <w:b/>
          <w:bCs/>
          <w:color w:val="2E74B5" w:themeColor="accent1" w:themeShade="BF"/>
          <w:sz w:val="28"/>
          <w:szCs w:val="28"/>
        </w:rPr>
        <w:t>1.9</w:t>
      </w:r>
      <w:r w:rsidR="005622BA" w:rsidRPr="00CA5A64">
        <w:rPr>
          <w:rFonts w:ascii="Century Gothic" w:eastAsia="CenturyGothic" w:hAnsi="Century Gothic" w:cs="Arial"/>
          <w:b/>
          <w:bCs/>
          <w:color w:val="2E74B5" w:themeColor="accent1" w:themeShade="BF"/>
          <w:sz w:val="28"/>
          <w:szCs w:val="28"/>
        </w:rPr>
        <w:t xml:space="preserve"> </w:t>
      </w:r>
      <w:r w:rsidRPr="00CA5A64">
        <w:rPr>
          <w:rFonts w:ascii="Century Gothic" w:eastAsia="CenturyGothic" w:hAnsi="Century Gothic" w:cs="Arial"/>
          <w:b/>
          <w:bCs/>
          <w:color w:val="2E74B5" w:themeColor="accent1" w:themeShade="BF"/>
          <w:sz w:val="28"/>
          <w:szCs w:val="28"/>
        </w:rPr>
        <w:t>Organización en Centros de Salud</w:t>
      </w:r>
    </w:p>
    <w:p w:rsidR="005622BA" w:rsidRDefault="005622BA" w:rsidP="005622BA">
      <w:pPr>
        <w:autoSpaceDE w:val="0"/>
        <w:spacing w:before="240" w:after="0" w:line="240" w:lineRule="auto"/>
        <w:jc w:val="both"/>
        <w:rPr>
          <w:rFonts w:ascii="Century Gothic" w:eastAsia="CenturyGothic" w:hAnsi="Century Gothic" w:cs="Arial"/>
        </w:rPr>
      </w:pPr>
      <w:r>
        <w:rPr>
          <w:rFonts w:ascii="Century Gothic" w:eastAsia="CenturyGothic" w:hAnsi="Century Gothic" w:cs="Arial"/>
        </w:rPr>
        <w:t>En cada una de las Zonas Básicas de Salud debe</w:t>
      </w:r>
      <w:r w:rsidRPr="00E8124E">
        <w:rPr>
          <w:rFonts w:ascii="Century Gothic" w:eastAsia="CenturyGothic" w:hAnsi="Century Gothic" w:cs="Arial"/>
          <w:color w:val="FF0000"/>
        </w:rPr>
        <w:t xml:space="preserve"> </w:t>
      </w:r>
      <w:r w:rsidRPr="00592717">
        <w:rPr>
          <w:rFonts w:ascii="Century Gothic" w:eastAsia="CenturyGothic" w:hAnsi="Century Gothic" w:cs="Arial"/>
        </w:rPr>
        <w:t xml:space="preserve">designarse </w:t>
      </w:r>
      <w:r>
        <w:rPr>
          <w:rFonts w:ascii="Century Gothic" w:eastAsia="CenturyGothic" w:hAnsi="Century Gothic" w:cs="Arial"/>
        </w:rPr>
        <w:t xml:space="preserve">una </w:t>
      </w:r>
      <w:r w:rsidRPr="00592717">
        <w:rPr>
          <w:rFonts w:ascii="Century Gothic" w:eastAsia="CenturyGothic" w:hAnsi="Century Gothic" w:cs="Arial"/>
        </w:rPr>
        <w:t>pe</w:t>
      </w:r>
      <w:r w:rsidRPr="00593AC4">
        <w:rPr>
          <w:rFonts w:ascii="Century Gothic" w:eastAsia="CenturyGothic" w:hAnsi="Century Gothic" w:cs="Arial"/>
        </w:rPr>
        <w:t>rsona</w:t>
      </w:r>
      <w:r w:rsidRPr="00592717">
        <w:rPr>
          <w:rFonts w:ascii="Century Gothic" w:eastAsia="CenturyGothic" w:hAnsi="Century Gothic" w:cs="Arial"/>
        </w:rPr>
        <w:t xml:space="preserve"> </w:t>
      </w:r>
      <w:r w:rsidR="00EA0917">
        <w:rPr>
          <w:rFonts w:ascii="Century Gothic" w:eastAsia="CenturyGothic" w:hAnsi="Century Gothic" w:cs="Arial"/>
          <w:bCs/>
        </w:rPr>
        <w:t xml:space="preserve">responsable de la </w:t>
      </w:r>
      <w:r w:rsidR="00592717" w:rsidRPr="00592717">
        <w:rPr>
          <w:rFonts w:ascii="Century Gothic" w:eastAsia="CenturyGothic" w:hAnsi="Century Gothic" w:cs="Arial"/>
          <w:bCs/>
        </w:rPr>
        <w:t xml:space="preserve"> </w:t>
      </w:r>
      <w:r w:rsidR="00EA0917">
        <w:rPr>
          <w:rFonts w:ascii="Century Gothic" w:eastAsia="CenturyGothic" w:hAnsi="Century Gothic" w:cs="Arial"/>
          <w:bCs/>
        </w:rPr>
        <w:t>Campaña de V</w:t>
      </w:r>
      <w:r w:rsidRPr="00592717">
        <w:rPr>
          <w:rFonts w:ascii="Century Gothic" w:eastAsia="CenturyGothic" w:hAnsi="Century Gothic" w:cs="Arial"/>
          <w:bCs/>
        </w:rPr>
        <w:t xml:space="preserve">acunación Antigripal, </w:t>
      </w:r>
      <w:r w:rsidR="00592717">
        <w:rPr>
          <w:rFonts w:ascii="Century Gothic" w:eastAsia="CenturyGothic" w:hAnsi="Century Gothic" w:cs="Arial"/>
          <w:bCs/>
        </w:rPr>
        <w:t>cuya presencia es</w:t>
      </w:r>
      <w:r>
        <w:rPr>
          <w:rFonts w:ascii="Century Gothic" w:eastAsia="CenturyGothic" w:hAnsi="Century Gothic" w:cs="Arial"/>
          <w:bCs/>
        </w:rPr>
        <w:t xml:space="preserve"> necesaria</w:t>
      </w:r>
      <w:r w:rsidR="00592717" w:rsidRPr="00593AC4">
        <w:rPr>
          <w:rFonts w:ascii="Century Gothic" w:eastAsia="CenturyGothic" w:hAnsi="Century Gothic" w:cs="Arial"/>
          <w:bCs/>
          <w:color w:val="FF0000"/>
        </w:rPr>
        <w:t xml:space="preserve"> </w:t>
      </w:r>
      <w:r w:rsidR="00592717" w:rsidRPr="00593AC4">
        <w:rPr>
          <w:rFonts w:ascii="Century Gothic" w:eastAsia="CenturyGothic" w:hAnsi="Century Gothic" w:cs="Arial"/>
          <w:bCs/>
        </w:rPr>
        <w:t xml:space="preserve">a lo largo de toda la campaña. </w:t>
      </w:r>
      <w:r w:rsidRPr="00593AC4">
        <w:rPr>
          <w:rFonts w:ascii="Century Gothic" w:eastAsia="CenturyGothic" w:hAnsi="Century Gothic" w:cs="Arial"/>
        </w:rPr>
        <w:t xml:space="preserve">Si esto no fuese posible, </w:t>
      </w:r>
      <w:r w:rsidR="00EA0917">
        <w:rPr>
          <w:rFonts w:ascii="Century Gothic" w:eastAsia="CenturyGothic" w:hAnsi="Century Gothic" w:cs="Arial"/>
        </w:rPr>
        <w:t xml:space="preserve">se </w:t>
      </w:r>
      <w:r w:rsidRPr="00593AC4">
        <w:rPr>
          <w:rFonts w:ascii="Century Gothic" w:eastAsia="CenturyGothic" w:hAnsi="Century Gothic" w:cs="Arial"/>
        </w:rPr>
        <w:t xml:space="preserve">deberá comunicar a la Dirección de Enfermería en qué persona </w:t>
      </w:r>
      <w:r w:rsidR="00EA0917">
        <w:rPr>
          <w:rFonts w:ascii="Century Gothic" w:eastAsia="CenturyGothic" w:hAnsi="Century Gothic" w:cs="Arial"/>
        </w:rPr>
        <w:t xml:space="preserve">se </w:t>
      </w:r>
      <w:r w:rsidRPr="00593AC4">
        <w:rPr>
          <w:rFonts w:ascii="Century Gothic" w:eastAsia="CenturyGothic" w:hAnsi="Century Gothic" w:cs="Arial"/>
        </w:rPr>
        <w:t>delega esta</w:t>
      </w:r>
      <w:r>
        <w:rPr>
          <w:rFonts w:ascii="Century Gothic" w:eastAsia="CenturyGothic" w:hAnsi="Century Gothic" w:cs="Arial"/>
        </w:rPr>
        <w:t xml:space="preserve"> responsabilidad durante su ausencia.</w:t>
      </w:r>
    </w:p>
    <w:p w:rsidR="00EA0917" w:rsidRPr="00EA0917" w:rsidRDefault="00EA0917" w:rsidP="005622BA">
      <w:pPr>
        <w:autoSpaceDE w:val="0"/>
        <w:spacing w:before="240" w:after="0" w:line="240" w:lineRule="auto"/>
        <w:jc w:val="both"/>
        <w:rPr>
          <w:rFonts w:ascii="Century Gothic" w:eastAsia="CenturyGothic" w:hAnsi="Century Gothic" w:cs="Arial"/>
          <w:b/>
        </w:rPr>
      </w:pPr>
      <w:r>
        <w:rPr>
          <w:rFonts w:ascii="Century Gothic" w:eastAsia="CenturyGothic" w:hAnsi="Century Gothic" w:cs="Arial"/>
          <w:b/>
        </w:rPr>
        <w:t xml:space="preserve">1.9.1. </w:t>
      </w:r>
      <w:r w:rsidRPr="00EA0917">
        <w:rPr>
          <w:rFonts w:ascii="Century Gothic" w:eastAsia="CenturyGothic" w:hAnsi="Century Gothic" w:cs="Arial"/>
          <w:b/>
        </w:rPr>
        <w:t>Responsable de la Campaña en el Centro de Salud</w:t>
      </w:r>
    </w:p>
    <w:p w:rsidR="005622BA" w:rsidRDefault="005622BA" w:rsidP="005622BA">
      <w:pPr>
        <w:autoSpaceDE w:val="0"/>
        <w:spacing w:before="240" w:after="0" w:line="240" w:lineRule="auto"/>
        <w:jc w:val="both"/>
        <w:rPr>
          <w:rFonts w:ascii="Century Gothic" w:eastAsia="CenturyGothic" w:hAnsi="Century Gothic" w:cs="Arial"/>
        </w:rPr>
      </w:pPr>
      <w:r>
        <w:rPr>
          <w:rFonts w:ascii="Century Gothic" w:eastAsia="CenturyGothic" w:hAnsi="Century Gothic" w:cs="Arial"/>
        </w:rPr>
        <w:t>La persona responsable de la vacunación antigripal tiene las siguientes funciones:</w:t>
      </w:r>
    </w:p>
    <w:p w:rsidR="00EA0917" w:rsidRDefault="00EA0917" w:rsidP="005622BA">
      <w:pPr>
        <w:autoSpaceDE w:val="0"/>
        <w:spacing w:before="240" w:after="0" w:line="240" w:lineRule="auto"/>
        <w:jc w:val="both"/>
        <w:rPr>
          <w:rFonts w:ascii="Century Gothic" w:eastAsia="CenturyGothic" w:hAnsi="Century Gothic" w:cs="Arial"/>
        </w:rPr>
      </w:pPr>
    </w:p>
    <w:p w:rsidR="005622BA" w:rsidRDefault="005622BA" w:rsidP="005622BA">
      <w:pPr>
        <w:numPr>
          <w:ilvl w:val="0"/>
          <w:numId w:val="27"/>
        </w:numPr>
        <w:autoSpaceDE w:val="0"/>
        <w:spacing w:after="0" w:line="240" w:lineRule="auto"/>
        <w:jc w:val="both"/>
        <w:rPr>
          <w:rFonts w:ascii="Century Gothic" w:eastAsia="CenturyGothic" w:hAnsi="Century Gothic" w:cs="Arial"/>
        </w:rPr>
      </w:pPr>
      <w:r>
        <w:rPr>
          <w:rFonts w:ascii="Century Gothic" w:eastAsia="CenturyGothic" w:hAnsi="Century Gothic" w:cs="Arial"/>
        </w:rPr>
        <w:t>Indicar la retirada de vacunas de la campaña anterior que hayan quedado en stock, desechándolas en el contenedor de material biológico.</w:t>
      </w:r>
    </w:p>
    <w:p w:rsidR="005622BA" w:rsidRDefault="005622BA" w:rsidP="005622BA">
      <w:pPr>
        <w:numPr>
          <w:ilvl w:val="0"/>
          <w:numId w:val="27"/>
        </w:numPr>
        <w:autoSpaceDE w:val="0"/>
        <w:spacing w:after="0" w:line="240" w:lineRule="auto"/>
        <w:jc w:val="both"/>
        <w:rPr>
          <w:rFonts w:ascii="Century Gothic" w:eastAsia="CenturyGothic" w:hAnsi="Century Gothic" w:cs="Arial"/>
        </w:rPr>
      </w:pPr>
      <w:r>
        <w:rPr>
          <w:rFonts w:ascii="Century Gothic" w:eastAsia="CenturyGothic" w:hAnsi="Century Gothic" w:cs="Arial"/>
        </w:rPr>
        <w:t>Información al usuario a través de la cartelería suministrada para el centro.</w:t>
      </w:r>
    </w:p>
    <w:p w:rsidR="005622BA" w:rsidRDefault="005622BA" w:rsidP="005622BA">
      <w:pPr>
        <w:numPr>
          <w:ilvl w:val="0"/>
          <w:numId w:val="27"/>
        </w:numPr>
        <w:autoSpaceDE w:val="0"/>
        <w:spacing w:after="0" w:line="240" w:lineRule="auto"/>
        <w:jc w:val="both"/>
        <w:rPr>
          <w:rFonts w:ascii="Century Gothic" w:eastAsia="CenturyGothic" w:hAnsi="Century Gothic" w:cs="Arial"/>
        </w:rPr>
      </w:pPr>
      <w:r>
        <w:rPr>
          <w:rFonts w:ascii="Century Gothic" w:eastAsia="CenturyGothic" w:hAnsi="Century Gothic" w:cs="Arial"/>
        </w:rPr>
        <w:t>Información a los profesionales de la zona sobre la campaña (fechas de entrega, dosis, retirada de vacunas, comprobación del albarán de cada entrega, registros, etc.).</w:t>
      </w:r>
    </w:p>
    <w:p w:rsidR="005622BA" w:rsidRDefault="005622BA" w:rsidP="005622BA">
      <w:pPr>
        <w:numPr>
          <w:ilvl w:val="0"/>
          <w:numId w:val="27"/>
        </w:numPr>
        <w:autoSpaceDE w:val="0"/>
        <w:spacing w:after="0" w:line="240" w:lineRule="auto"/>
        <w:jc w:val="both"/>
        <w:rPr>
          <w:rFonts w:ascii="Century Gothic" w:eastAsia="CenturyGothic" w:hAnsi="Century Gothic" w:cs="Arial"/>
        </w:rPr>
      </w:pPr>
      <w:r>
        <w:rPr>
          <w:rFonts w:ascii="Century Gothic" w:eastAsia="CenturyGothic" w:hAnsi="Century Gothic" w:cs="Arial"/>
        </w:rPr>
        <w:t>Organización del sistema de citación.</w:t>
      </w:r>
    </w:p>
    <w:p w:rsidR="005622BA" w:rsidRPr="00472371" w:rsidRDefault="005622BA" w:rsidP="005622BA">
      <w:pPr>
        <w:numPr>
          <w:ilvl w:val="0"/>
          <w:numId w:val="27"/>
        </w:numPr>
        <w:autoSpaceDE w:val="0"/>
        <w:spacing w:after="0" w:line="240" w:lineRule="auto"/>
        <w:ind w:left="714" w:hanging="357"/>
        <w:jc w:val="both"/>
        <w:rPr>
          <w:rStyle w:val="nfasis"/>
          <w:rFonts w:ascii="Century Gothic" w:hAnsi="Century Gothic"/>
        </w:rPr>
      </w:pPr>
      <w:r>
        <w:rPr>
          <w:rFonts w:ascii="Century Gothic" w:eastAsia="CenturyGothic" w:hAnsi="Century Gothic" w:cs="Arial"/>
        </w:rPr>
        <w:t xml:space="preserve">Recepción de las </w:t>
      </w:r>
      <w:r w:rsidRPr="00472371">
        <w:rPr>
          <w:rFonts w:ascii="Century Gothic" w:eastAsia="CenturyGothic" w:hAnsi="Century Gothic" w:cs="Arial"/>
        </w:rPr>
        <w:t>vacunas según las normas preestablecidas o delegaci</w:t>
      </w:r>
      <w:r w:rsidRPr="00472371">
        <w:rPr>
          <w:rFonts w:ascii="Century Gothic" w:eastAsia="CenturyGothic" w:hAnsi="Century Gothic" w:cs="Arial"/>
          <w:bCs/>
        </w:rPr>
        <w:t>ó</w:t>
      </w:r>
      <w:r w:rsidRPr="00472371">
        <w:rPr>
          <w:rFonts w:ascii="Century Gothic" w:eastAsia="CenturyGothic" w:hAnsi="Century Gothic" w:cs="Arial"/>
        </w:rPr>
        <w:t xml:space="preserve">n en otro profesional que lo lleve a </w:t>
      </w:r>
      <w:r w:rsidRPr="00472371">
        <w:rPr>
          <w:rStyle w:val="nfasis"/>
          <w:rFonts w:ascii="Century Gothic" w:hAnsi="Century Gothic"/>
        </w:rPr>
        <w:t>cabo (1ª entrega 16-18 oct, 2º entrega 26, 30 y 31 de oct y 3ª el 7, 11 y 12 de nov).</w:t>
      </w:r>
    </w:p>
    <w:p w:rsidR="005622BA" w:rsidRPr="00472371" w:rsidRDefault="005622BA" w:rsidP="005622BA">
      <w:pPr>
        <w:numPr>
          <w:ilvl w:val="0"/>
          <w:numId w:val="8"/>
        </w:numPr>
        <w:autoSpaceDE w:val="0"/>
        <w:spacing w:after="0" w:line="240" w:lineRule="auto"/>
        <w:jc w:val="both"/>
        <w:rPr>
          <w:rFonts w:ascii="Century Gothic" w:eastAsia="CenturyGothic" w:hAnsi="Century Gothic" w:cs="Arial"/>
        </w:rPr>
      </w:pPr>
      <w:r w:rsidRPr="00472371">
        <w:rPr>
          <w:rFonts w:ascii="Century Gothic" w:eastAsia="CenturyGothic" w:hAnsi="Century Gothic" w:cs="Arial"/>
        </w:rPr>
        <w:t>Actuar como persona de contacto en el caso de agotarse el stock de vacunas asignado al Punto de Vacunación correspondiente, y encargarse de suministrar a ese punto las nuevas dosis de vacunas (de las enviadas a esa Zona).</w:t>
      </w:r>
    </w:p>
    <w:p w:rsidR="005622BA" w:rsidRPr="00472371" w:rsidRDefault="005622BA" w:rsidP="005622BA">
      <w:pPr>
        <w:numPr>
          <w:ilvl w:val="0"/>
          <w:numId w:val="8"/>
        </w:numPr>
        <w:autoSpaceDE w:val="0"/>
        <w:spacing w:after="0" w:line="240" w:lineRule="auto"/>
        <w:jc w:val="both"/>
        <w:rPr>
          <w:rFonts w:ascii="Century Gothic" w:eastAsia="CenturyGothic" w:hAnsi="Century Gothic" w:cs="Arial"/>
        </w:rPr>
      </w:pPr>
      <w:r w:rsidRPr="00472371">
        <w:rPr>
          <w:rFonts w:ascii="Century Gothic" w:eastAsia="CenturyGothic" w:hAnsi="Century Gothic" w:cs="Arial"/>
        </w:rPr>
        <w:t xml:space="preserve">En el caso de agotarse el stock de vacunas asignado a toda su Zona Básica de Salud, el responsable del programa de vacunación se pondrá en contacto con el Servicio de Farmacia para el suministro de nuevas dosis, llamando al teléfono </w:t>
      </w:r>
      <w:r w:rsidRPr="00472371">
        <w:rPr>
          <w:rStyle w:val="CitaCar"/>
          <w:rFonts w:ascii="Century Gothic" w:hAnsi="Century Gothic"/>
          <w:color w:val="auto"/>
        </w:rPr>
        <w:t>942202793</w:t>
      </w:r>
      <w:r w:rsidRPr="00472371">
        <w:rPr>
          <w:rFonts w:ascii="Century Gothic" w:eastAsia="CenturyGothic" w:hAnsi="Century Gothic" w:cs="Arial"/>
        </w:rPr>
        <w:t xml:space="preserve"> o mediante correo electrónico a la siguiente dirección: </w:t>
      </w:r>
      <w:r w:rsidRPr="00472371">
        <w:rPr>
          <w:rStyle w:val="CitaCar"/>
          <w:rFonts w:ascii="Century Gothic" w:hAnsi="Century Gothic"/>
          <w:color w:val="auto"/>
        </w:rPr>
        <w:t>farmacia1.gap@scsalud.es</w:t>
      </w:r>
    </w:p>
    <w:p w:rsidR="005622BA" w:rsidRPr="00472371" w:rsidRDefault="005622BA" w:rsidP="005622BA">
      <w:pPr>
        <w:numPr>
          <w:ilvl w:val="0"/>
          <w:numId w:val="8"/>
        </w:numPr>
        <w:autoSpaceDE w:val="0"/>
        <w:spacing w:after="0" w:line="240" w:lineRule="auto"/>
        <w:jc w:val="both"/>
        <w:rPr>
          <w:rFonts w:ascii="Century Gothic" w:eastAsia="CenturyGothic" w:hAnsi="Century Gothic" w:cs="Arial"/>
        </w:rPr>
      </w:pPr>
      <w:r w:rsidRPr="00472371">
        <w:rPr>
          <w:rFonts w:ascii="Century Gothic" w:eastAsia="CenturyGothic" w:hAnsi="Century Gothic" w:cs="Arial"/>
        </w:rPr>
        <w:lastRenderedPageBreak/>
        <w:t>En caso de agotarse el stock de vacunas asignado a la Gerencia, se informará a los usuarios de ello y se programarán las vacunaciones restantes para la última semana de la campaña.</w:t>
      </w:r>
    </w:p>
    <w:p w:rsidR="005622BA" w:rsidRDefault="005622BA" w:rsidP="005622BA">
      <w:pPr>
        <w:numPr>
          <w:ilvl w:val="0"/>
          <w:numId w:val="27"/>
        </w:numPr>
        <w:autoSpaceDE w:val="0"/>
        <w:spacing w:after="0" w:line="240" w:lineRule="auto"/>
        <w:jc w:val="both"/>
        <w:rPr>
          <w:rFonts w:ascii="Century Gothic" w:eastAsia="CenturyGothic" w:hAnsi="Century Gothic" w:cs="Arial"/>
        </w:rPr>
      </w:pPr>
      <w:r w:rsidRPr="00472371">
        <w:rPr>
          <w:rFonts w:ascii="Century Gothic" w:eastAsia="CenturyGothic" w:hAnsi="Century Gothic" w:cs="Arial"/>
        </w:rPr>
        <w:t xml:space="preserve">Llevar el Sistema de Registro de las vacunas correspondientes </w:t>
      </w:r>
      <w:r>
        <w:rPr>
          <w:rFonts w:ascii="Century Gothic" w:eastAsia="CenturyGothic" w:hAnsi="Century Gothic" w:cs="Arial"/>
        </w:rPr>
        <w:t>a las residencias sociosanitarias.</w:t>
      </w:r>
    </w:p>
    <w:p w:rsidR="005622BA" w:rsidRDefault="005622BA" w:rsidP="005622BA">
      <w:pPr>
        <w:numPr>
          <w:ilvl w:val="0"/>
          <w:numId w:val="8"/>
        </w:numPr>
        <w:autoSpaceDE w:val="0"/>
        <w:spacing w:after="0" w:line="240" w:lineRule="auto"/>
        <w:jc w:val="both"/>
        <w:rPr>
          <w:rFonts w:ascii="Century Gothic" w:eastAsia="CenturyGothic" w:hAnsi="Century Gothic" w:cs="Arial"/>
        </w:rPr>
      </w:pPr>
      <w:r>
        <w:rPr>
          <w:rFonts w:ascii="Century Gothic" w:eastAsia="CenturyGothic" w:hAnsi="Century Gothic" w:cs="Arial"/>
        </w:rPr>
        <w:t>Devolución de las vacunas no administradas al finalizar la campaña, siguiendo las instrucciones del Servicio de Farmacia.</w:t>
      </w:r>
    </w:p>
    <w:p w:rsidR="005622BA" w:rsidRDefault="005622BA" w:rsidP="005622BA">
      <w:pPr>
        <w:numPr>
          <w:ilvl w:val="0"/>
          <w:numId w:val="8"/>
        </w:numPr>
        <w:autoSpaceDE w:val="0"/>
        <w:spacing w:after="0" w:line="240" w:lineRule="auto"/>
        <w:jc w:val="both"/>
        <w:rPr>
          <w:rFonts w:ascii="Century Gothic" w:eastAsia="CenturyGothic" w:hAnsi="Century Gothic" w:cs="Arial"/>
          <w:bCs/>
        </w:rPr>
      </w:pPr>
      <w:r>
        <w:rPr>
          <w:rFonts w:ascii="Century Gothic" w:eastAsia="CenturyGothic" w:hAnsi="Century Gothic" w:cs="Arial"/>
        </w:rPr>
        <w:t>Coordinación y seguimiento del registro, mediante OMI, de la información sobre las vacunas que se administran y se entregan en los Centros de Salud y Consultorios. Dicha información será recogida por la Gerencia de Atención Primaria semanalmente.</w:t>
      </w:r>
      <w:r w:rsidR="001F7B34" w:rsidRPr="001F7B34">
        <w:rPr>
          <w:rFonts w:ascii="Century Gothic" w:eastAsia="CenturyGothic" w:hAnsi="Century Gothic" w:cs="CenturyGothic"/>
          <w:bCs/>
          <w:color w:val="FF0000"/>
        </w:rPr>
        <w:t xml:space="preserve"> </w:t>
      </w:r>
    </w:p>
    <w:p w:rsidR="005622BA" w:rsidRDefault="005622BA" w:rsidP="005622BA">
      <w:pPr>
        <w:numPr>
          <w:ilvl w:val="0"/>
          <w:numId w:val="8"/>
        </w:numPr>
        <w:autoSpaceDE w:val="0"/>
        <w:spacing w:after="0" w:line="240" w:lineRule="auto"/>
        <w:jc w:val="both"/>
      </w:pPr>
      <w:r>
        <w:rPr>
          <w:rFonts w:ascii="Century Gothic" w:eastAsia="CenturyGothic" w:hAnsi="Century Gothic" w:cs="Arial"/>
          <w:bCs/>
        </w:rPr>
        <w:t>Actualización de conocimientos sobre la gripe y la promoción de la vacunación entre el personal del Centro de Salud.</w:t>
      </w:r>
    </w:p>
    <w:p w:rsidR="005622BA" w:rsidRDefault="005622BA" w:rsidP="005622BA">
      <w:pPr>
        <w:autoSpaceDE w:val="0"/>
        <w:spacing w:after="0" w:line="240" w:lineRule="auto"/>
        <w:jc w:val="both"/>
      </w:pPr>
    </w:p>
    <w:p w:rsidR="005622BA" w:rsidRDefault="005622BA">
      <w:pPr>
        <w:autoSpaceDE w:val="0"/>
        <w:spacing w:after="0" w:line="240" w:lineRule="auto"/>
        <w:jc w:val="both"/>
        <w:rPr>
          <w:rFonts w:ascii="Century Gothic" w:hAnsi="Century Gothic" w:cs="Arial"/>
          <w:b/>
        </w:rPr>
      </w:pPr>
    </w:p>
    <w:p w:rsidR="00DD7D70" w:rsidRDefault="00EA0917">
      <w:pPr>
        <w:autoSpaceDE w:val="0"/>
        <w:spacing w:before="240" w:after="0" w:line="240" w:lineRule="auto"/>
        <w:jc w:val="both"/>
        <w:rPr>
          <w:rFonts w:ascii="Century Gothic" w:hAnsi="Century Gothic" w:cs="Arial"/>
        </w:rPr>
      </w:pPr>
      <w:r>
        <w:rPr>
          <w:rFonts w:ascii="Century Gothic" w:hAnsi="Century Gothic" w:cs="Arial"/>
          <w:b/>
        </w:rPr>
        <w:t xml:space="preserve">1.9.2. </w:t>
      </w:r>
      <w:r w:rsidR="00DD7D70">
        <w:rPr>
          <w:rFonts w:ascii="Century Gothic" w:hAnsi="Century Gothic" w:cs="Arial"/>
          <w:b/>
        </w:rPr>
        <w:t>Distribución de las vacunas</w:t>
      </w:r>
    </w:p>
    <w:p w:rsidR="00DD7D70" w:rsidRPr="00CF2F2E" w:rsidRDefault="00DD7D70" w:rsidP="002846E1">
      <w:pPr>
        <w:autoSpaceDE w:val="0"/>
        <w:spacing w:before="240" w:after="0" w:line="240" w:lineRule="auto"/>
        <w:jc w:val="both"/>
        <w:rPr>
          <w:rFonts w:ascii="Century Gothic" w:hAnsi="Century Gothic" w:cs="Arial"/>
        </w:rPr>
      </w:pPr>
      <w:r>
        <w:rPr>
          <w:rFonts w:ascii="Century Gothic" w:hAnsi="Century Gothic" w:cs="Arial"/>
        </w:rPr>
        <w:t>Cada punto de vacunación tiene asignado un determinado número de dosis, calculado en función de la población mayor de 60 años de su zona, y las vacunas admini</w:t>
      </w:r>
      <w:r w:rsidR="00EA0917">
        <w:rPr>
          <w:rFonts w:ascii="Century Gothic" w:hAnsi="Century Gothic" w:cs="Arial"/>
        </w:rPr>
        <w:t>stradas en la campaña anterior.</w:t>
      </w:r>
    </w:p>
    <w:p w:rsidR="00DD7D70" w:rsidRPr="00472371" w:rsidRDefault="00DD7D70">
      <w:pPr>
        <w:autoSpaceDE w:val="0"/>
        <w:spacing w:before="240" w:after="0" w:line="240" w:lineRule="auto"/>
        <w:jc w:val="both"/>
        <w:rPr>
          <w:rFonts w:ascii="Century Gothic" w:hAnsi="Century Gothic" w:cs="Arial"/>
          <w:shd w:val="clear" w:color="auto" w:fill="FFFF00"/>
        </w:rPr>
      </w:pPr>
      <w:r>
        <w:rPr>
          <w:rFonts w:ascii="Century Gothic" w:hAnsi="Century Gothic" w:cs="Arial"/>
        </w:rPr>
        <w:t>Las vacunas serán servidas por el laboratorio directamente en distintas fechas a los distintos puntos de vacunación, con el deber de mantener la cadena del frío y teniendo en cuenta las previsiones y capacidad de almacenamiento de los centros.</w:t>
      </w:r>
    </w:p>
    <w:p w:rsidR="00DD7D70" w:rsidRPr="00472371" w:rsidRDefault="00DD7D70">
      <w:pPr>
        <w:autoSpaceDE w:val="0"/>
        <w:spacing w:after="0" w:line="240" w:lineRule="auto"/>
        <w:jc w:val="both"/>
        <w:rPr>
          <w:rFonts w:ascii="Century Gothic" w:hAnsi="Century Gothic" w:cs="Arial"/>
        </w:rPr>
      </w:pPr>
    </w:p>
    <w:p w:rsidR="00DD7D70" w:rsidRDefault="00EA0917">
      <w:pPr>
        <w:autoSpaceDE w:val="0"/>
        <w:spacing w:after="0" w:line="240" w:lineRule="auto"/>
        <w:jc w:val="both"/>
        <w:rPr>
          <w:rFonts w:ascii="Century Gothic" w:hAnsi="Century Gothic" w:cs="Arial"/>
        </w:rPr>
      </w:pPr>
      <w:r>
        <w:rPr>
          <w:rFonts w:ascii="Century Gothic" w:hAnsi="Century Gothic" w:cs="Arial"/>
          <w:b/>
        </w:rPr>
        <w:t xml:space="preserve">1.9.3. </w:t>
      </w:r>
      <w:r w:rsidR="00DD7D70">
        <w:rPr>
          <w:rFonts w:ascii="Century Gothic" w:hAnsi="Century Gothic" w:cs="Arial"/>
          <w:b/>
        </w:rPr>
        <w:t>Recepción de las vacunas</w:t>
      </w:r>
    </w:p>
    <w:p w:rsidR="00DD7D70" w:rsidRPr="00472371" w:rsidRDefault="00DD7D70">
      <w:pPr>
        <w:autoSpaceDE w:val="0"/>
        <w:spacing w:before="240" w:after="0" w:line="240" w:lineRule="auto"/>
        <w:jc w:val="both"/>
        <w:rPr>
          <w:rStyle w:val="CitaCar"/>
          <w:rFonts w:ascii="Century Gothic" w:hAnsi="Century Gothic"/>
          <w:i w:val="0"/>
          <w:color w:val="auto"/>
        </w:rPr>
      </w:pPr>
      <w:r w:rsidRPr="00472371">
        <w:rPr>
          <w:rFonts w:ascii="Century Gothic" w:hAnsi="Century Gothic" w:cs="Arial"/>
        </w:rPr>
        <w:t>Las vacunas serán entregadas directamente en el centro de salud y en los consultorios de la zona por la empresa de transporte</w:t>
      </w:r>
      <w:r w:rsidRPr="00472371">
        <w:rPr>
          <w:rStyle w:val="CitaCar"/>
          <w:rFonts w:ascii="Century Gothic" w:hAnsi="Century Gothic"/>
          <w:i w:val="0"/>
          <w:color w:val="auto"/>
        </w:rPr>
        <w:t>. Las destinadas a los centros socios</w:t>
      </w:r>
      <w:r w:rsidR="00EA0917">
        <w:rPr>
          <w:rStyle w:val="CitaCar"/>
          <w:rFonts w:ascii="Century Gothic" w:hAnsi="Century Gothic"/>
          <w:i w:val="0"/>
          <w:color w:val="auto"/>
        </w:rPr>
        <w:t>anitarios son</w:t>
      </w:r>
      <w:r w:rsidRPr="00472371">
        <w:rPr>
          <w:rStyle w:val="CitaCar"/>
          <w:rFonts w:ascii="Century Gothic" w:hAnsi="Century Gothic"/>
          <w:i w:val="0"/>
          <w:color w:val="auto"/>
        </w:rPr>
        <w:t xml:space="preserve"> e</w:t>
      </w:r>
      <w:r w:rsidR="00EA0917">
        <w:rPr>
          <w:rStyle w:val="CitaCar"/>
          <w:rFonts w:ascii="Century Gothic" w:hAnsi="Century Gothic"/>
          <w:i w:val="0"/>
          <w:color w:val="auto"/>
        </w:rPr>
        <w:t>ntregadas directamente en ellos.</w:t>
      </w:r>
    </w:p>
    <w:p w:rsidR="00DD7D70" w:rsidRDefault="00DD7D70">
      <w:pPr>
        <w:autoSpaceDE w:val="0"/>
        <w:spacing w:before="240" w:after="0" w:line="240" w:lineRule="auto"/>
        <w:jc w:val="both"/>
        <w:rPr>
          <w:rFonts w:ascii="Century Gothic" w:hAnsi="Century Gothic" w:cs="Arial"/>
        </w:rPr>
      </w:pPr>
      <w:r>
        <w:rPr>
          <w:rFonts w:ascii="Century Gothic" w:hAnsi="Century Gothic" w:cs="Arial"/>
        </w:rPr>
        <w:t>En el momento de la recepción, al recoger el albarán (pegado a la caja en una funda de plástico), es preciso comprobar los siguientes datos:</w:t>
      </w:r>
    </w:p>
    <w:p w:rsidR="00DD7D70" w:rsidRDefault="00DD7D70">
      <w:pPr>
        <w:numPr>
          <w:ilvl w:val="0"/>
          <w:numId w:val="11"/>
        </w:numPr>
        <w:autoSpaceDE w:val="0"/>
        <w:spacing w:after="0" w:line="240" w:lineRule="auto"/>
        <w:jc w:val="both"/>
        <w:rPr>
          <w:rFonts w:ascii="Century Gothic" w:hAnsi="Century Gothic" w:cs="Arial"/>
        </w:rPr>
      </w:pPr>
      <w:r>
        <w:rPr>
          <w:rFonts w:ascii="Century Gothic" w:hAnsi="Century Gothic" w:cs="Arial"/>
        </w:rPr>
        <w:t>lugar donde se entrega</w:t>
      </w:r>
    </w:p>
    <w:p w:rsidR="00DD7D70" w:rsidRDefault="00DD7D70">
      <w:pPr>
        <w:numPr>
          <w:ilvl w:val="0"/>
          <w:numId w:val="11"/>
        </w:numPr>
        <w:autoSpaceDE w:val="0"/>
        <w:spacing w:after="0" w:line="240" w:lineRule="auto"/>
        <w:jc w:val="both"/>
        <w:rPr>
          <w:rFonts w:ascii="Century Gothic" w:hAnsi="Century Gothic" w:cs="Arial"/>
        </w:rPr>
      </w:pPr>
      <w:r>
        <w:rPr>
          <w:rFonts w:ascii="Century Gothic" w:hAnsi="Century Gothic" w:cs="Arial"/>
        </w:rPr>
        <w:t>y número de vacunas entregadas.</w:t>
      </w:r>
    </w:p>
    <w:p w:rsidR="00DD7D70" w:rsidRDefault="00DD7D70">
      <w:pPr>
        <w:numPr>
          <w:ilvl w:val="0"/>
          <w:numId w:val="11"/>
        </w:numPr>
        <w:autoSpaceDE w:val="0"/>
        <w:spacing w:after="0" w:line="240" w:lineRule="auto"/>
        <w:jc w:val="both"/>
        <w:rPr>
          <w:rFonts w:ascii="Century Gothic" w:hAnsi="Century Gothic" w:cs="Arial"/>
        </w:rPr>
      </w:pPr>
      <w:r>
        <w:rPr>
          <w:rFonts w:ascii="Century Gothic" w:hAnsi="Century Gothic" w:cs="Arial"/>
        </w:rPr>
        <w:t xml:space="preserve">Comprobar marcadores de temperatura </w:t>
      </w:r>
    </w:p>
    <w:p w:rsidR="00DD7D70" w:rsidRDefault="00DD7D70">
      <w:pPr>
        <w:autoSpaceDE w:val="0"/>
        <w:spacing w:before="240" w:after="0" w:line="240" w:lineRule="auto"/>
        <w:jc w:val="both"/>
        <w:rPr>
          <w:rFonts w:ascii="Century Gothic" w:hAnsi="Century Gothic" w:cs="Arial"/>
        </w:rPr>
      </w:pPr>
      <w:r>
        <w:rPr>
          <w:rFonts w:ascii="Century Gothic" w:hAnsi="Century Gothic" w:cs="Arial"/>
        </w:rPr>
        <w:t>Si en ese momento se detecta algún fallo, LLAMAR INMEDIATAMENTE AL SERVICIO DE FARMACIA DE LA GERENCIA, 942202793, donde indicarán qué actuaciones se han de llevar a cabo.</w:t>
      </w:r>
    </w:p>
    <w:p w:rsidR="00DD7D70" w:rsidRDefault="00DD7D70">
      <w:pPr>
        <w:autoSpaceDE w:val="0"/>
        <w:spacing w:before="240" w:after="0" w:line="240" w:lineRule="auto"/>
        <w:jc w:val="both"/>
        <w:rPr>
          <w:rFonts w:ascii="Century Gothic" w:hAnsi="Century Gothic" w:cs="Arial"/>
        </w:rPr>
      </w:pPr>
      <w:r>
        <w:rPr>
          <w:rFonts w:ascii="Century Gothic" w:hAnsi="Century Gothic" w:cs="Arial"/>
        </w:rPr>
        <w:t xml:space="preserve">Si el albarán está correcto, se firma y se manda inmediatamente al Servicio de Farmacia </w:t>
      </w:r>
      <w:r w:rsidRPr="00472371">
        <w:rPr>
          <w:rStyle w:val="Textoennegrita"/>
          <w:rFonts w:ascii="Century Gothic" w:hAnsi="Century Gothic"/>
          <w:b w:val="0"/>
        </w:rPr>
        <w:t>por FAX: 942203473</w:t>
      </w:r>
      <w:r>
        <w:rPr>
          <w:rFonts w:ascii="Century Gothic" w:hAnsi="Century Gothic" w:cs="Arial"/>
        </w:rPr>
        <w:t>, y posteriormente se envía por valija el original (se recomienda hacer fotocopia de este papel por si en el futuro existiese algún incidente).</w:t>
      </w:r>
    </w:p>
    <w:p w:rsidR="00DD7D70" w:rsidRDefault="00DD7D70">
      <w:pPr>
        <w:autoSpaceDE w:val="0"/>
        <w:spacing w:before="240" w:after="0" w:line="240" w:lineRule="auto"/>
        <w:jc w:val="both"/>
        <w:rPr>
          <w:rFonts w:ascii="Century Gothic" w:hAnsi="Century Gothic" w:cs="Arial"/>
        </w:rPr>
      </w:pPr>
      <w:r>
        <w:rPr>
          <w:rFonts w:ascii="Century Gothic" w:hAnsi="Century Gothic" w:cs="Arial"/>
        </w:rPr>
        <w:t xml:space="preserve">Es muy importante verificar también que las vacunas se suministran en condiciones adecuadas de conservación según el dispositivo de control que contengan. Las vacunas serán suministradas manteniendo la cadena de frío y las condiciones de conservación a verificar, que figuran en el anexo final de este documento. Si en el momento de la recepción se detecta alguna incidencia al respecto, LLAMAR INMEDIATAMENTE AL SERVICIO DE FARMACIA, </w:t>
      </w:r>
      <w:r w:rsidRPr="00472371">
        <w:rPr>
          <w:rStyle w:val="Textoennegrita"/>
          <w:rFonts w:ascii="Century Gothic" w:hAnsi="Century Gothic"/>
          <w:b w:val="0"/>
        </w:rPr>
        <w:t xml:space="preserve">942202793, </w:t>
      </w:r>
      <w:r>
        <w:rPr>
          <w:rFonts w:ascii="Century Gothic" w:hAnsi="Century Gothic" w:cs="Arial"/>
        </w:rPr>
        <w:t>para recibir las instrucciones pertinentes.</w:t>
      </w:r>
    </w:p>
    <w:p w:rsidR="00DD7D70" w:rsidRDefault="00DD7D70">
      <w:pPr>
        <w:autoSpaceDE w:val="0"/>
        <w:spacing w:before="240" w:after="0" w:line="240" w:lineRule="auto"/>
        <w:jc w:val="both"/>
        <w:rPr>
          <w:rFonts w:ascii="Century Gothic" w:hAnsi="Century Gothic" w:cs="Arial"/>
        </w:rPr>
      </w:pPr>
      <w:r>
        <w:rPr>
          <w:rFonts w:ascii="Century Gothic" w:hAnsi="Century Gothic" w:cs="Arial"/>
        </w:rPr>
        <w:t>Las dosis de vacuna que no puedan ser utilizadas en el día se mantendrán debidamente refrigeradas en el centro como cualquier otro medicamento termolábil, ajustándose al procedimiento de control habitual.</w:t>
      </w:r>
    </w:p>
    <w:p w:rsidR="00DD7D70" w:rsidRDefault="00DD7D70">
      <w:pPr>
        <w:autoSpaceDE w:val="0"/>
        <w:spacing w:after="0" w:line="240" w:lineRule="auto"/>
        <w:jc w:val="both"/>
        <w:rPr>
          <w:rFonts w:ascii="Century Gothic" w:hAnsi="Century Gothic" w:cs="Arial"/>
        </w:rPr>
      </w:pPr>
    </w:p>
    <w:p w:rsidR="00DD7D70" w:rsidRDefault="00EA0917">
      <w:pPr>
        <w:autoSpaceDE w:val="0"/>
        <w:spacing w:after="0" w:line="240" w:lineRule="auto"/>
        <w:jc w:val="both"/>
        <w:rPr>
          <w:rFonts w:ascii="Century Gothic" w:hAnsi="Century Gothic" w:cs="Arial"/>
        </w:rPr>
      </w:pPr>
      <w:r>
        <w:rPr>
          <w:rFonts w:ascii="Century Gothic" w:hAnsi="Century Gothic" w:cs="Arial"/>
          <w:b/>
        </w:rPr>
        <w:lastRenderedPageBreak/>
        <w:t xml:space="preserve">1.9.4. </w:t>
      </w:r>
      <w:r w:rsidR="00DD7D70">
        <w:rPr>
          <w:rFonts w:ascii="Century Gothic" w:hAnsi="Century Gothic" w:cs="Arial"/>
          <w:b/>
        </w:rPr>
        <w:t>Conservación de las vacunas</w:t>
      </w:r>
    </w:p>
    <w:p w:rsidR="00DD7D70" w:rsidRDefault="00DD7D70">
      <w:pPr>
        <w:numPr>
          <w:ilvl w:val="0"/>
          <w:numId w:val="9"/>
        </w:numPr>
        <w:autoSpaceDE w:val="0"/>
        <w:spacing w:before="240" w:after="0" w:line="240" w:lineRule="auto"/>
        <w:jc w:val="both"/>
        <w:rPr>
          <w:rFonts w:ascii="Century Gothic" w:hAnsi="Century Gothic" w:cs="Arial"/>
        </w:rPr>
      </w:pPr>
      <w:r>
        <w:rPr>
          <w:rFonts w:ascii="Century Gothic" w:hAnsi="Century Gothic" w:cs="Arial"/>
        </w:rPr>
        <w:t>La temperatura de conservación entre 2ºC y 8ºC de las vacunas es la necesaria para que mantengan sus propiedades durante el periodo de caducidad que les ha sido dado.</w:t>
      </w:r>
    </w:p>
    <w:p w:rsidR="00DD7D70" w:rsidRDefault="00DD7D70">
      <w:pPr>
        <w:numPr>
          <w:ilvl w:val="0"/>
          <w:numId w:val="9"/>
        </w:numPr>
        <w:autoSpaceDE w:val="0"/>
        <w:spacing w:after="0" w:line="240" w:lineRule="auto"/>
        <w:jc w:val="both"/>
        <w:rPr>
          <w:rFonts w:ascii="Century Gothic" w:hAnsi="Century Gothic" w:cs="Arial"/>
        </w:rPr>
      </w:pPr>
      <w:r>
        <w:rPr>
          <w:rFonts w:ascii="Century Gothic" w:hAnsi="Century Gothic" w:cs="Arial"/>
        </w:rPr>
        <w:t>Las vacunas no deben ser congeladas y deben protegerse de la luz, para lo cual deben permanecer en su embalaje exterior.</w:t>
      </w:r>
    </w:p>
    <w:p w:rsidR="00DD7D70" w:rsidRDefault="00DD7D70">
      <w:pPr>
        <w:numPr>
          <w:ilvl w:val="0"/>
          <w:numId w:val="9"/>
        </w:numPr>
        <w:autoSpaceDE w:val="0"/>
        <w:spacing w:after="0" w:line="240" w:lineRule="auto"/>
        <w:jc w:val="both"/>
        <w:rPr>
          <w:rFonts w:ascii="Century Gothic" w:hAnsi="Century Gothic" w:cs="Arial"/>
        </w:rPr>
      </w:pPr>
      <w:r>
        <w:rPr>
          <w:rFonts w:ascii="Century Gothic" w:hAnsi="Century Gothic" w:cs="Arial"/>
        </w:rPr>
        <w:t>Las vacunas pueden ser transportadas a los domicilios o donde se requieran en condiciones ambientales, siempre evitando temperaturas superiores a 25°C y durante periodos no superiores a 24 horas.</w:t>
      </w:r>
    </w:p>
    <w:p w:rsidR="00DD7D70" w:rsidRDefault="00DD7D70">
      <w:pPr>
        <w:autoSpaceDE w:val="0"/>
        <w:spacing w:after="0" w:line="240" w:lineRule="auto"/>
        <w:jc w:val="both"/>
        <w:rPr>
          <w:rFonts w:ascii="Century Gothic" w:hAnsi="Century Gothic" w:cs="Arial"/>
        </w:rPr>
      </w:pPr>
    </w:p>
    <w:p w:rsidR="00DD7D70" w:rsidRDefault="00DD7D70">
      <w:pPr>
        <w:autoSpaceDE w:val="0"/>
        <w:spacing w:after="0" w:line="240" w:lineRule="auto"/>
        <w:jc w:val="both"/>
        <w:rPr>
          <w:rFonts w:ascii="Century Gothic" w:hAnsi="Century Gothic" w:cs="Arial"/>
          <w:b/>
        </w:rPr>
      </w:pPr>
    </w:p>
    <w:p w:rsidR="00DD7D70" w:rsidRDefault="00EA0917">
      <w:pPr>
        <w:autoSpaceDE w:val="0"/>
        <w:spacing w:after="0" w:line="240" w:lineRule="auto"/>
        <w:jc w:val="both"/>
        <w:rPr>
          <w:rFonts w:ascii="Century Gothic" w:hAnsi="Century Gothic" w:cs="Arial"/>
        </w:rPr>
      </w:pPr>
      <w:r>
        <w:rPr>
          <w:rFonts w:ascii="Century Gothic" w:hAnsi="Century Gothic" w:cs="Arial"/>
          <w:b/>
        </w:rPr>
        <w:t xml:space="preserve">1.9.5. </w:t>
      </w:r>
      <w:r w:rsidR="00DD7D70">
        <w:rPr>
          <w:rFonts w:ascii="Century Gothic" w:hAnsi="Century Gothic" w:cs="Arial"/>
          <w:b/>
        </w:rPr>
        <w:t>Devolución de las vacunas</w:t>
      </w:r>
    </w:p>
    <w:p w:rsidR="00DD7D70" w:rsidRDefault="00DD7D70">
      <w:pPr>
        <w:autoSpaceDE w:val="0"/>
        <w:spacing w:before="240" w:after="0" w:line="240" w:lineRule="auto"/>
        <w:jc w:val="both"/>
        <w:rPr>
          <w:rFonts w:ascii="Century Gothic" w:hAnsi="Century Gothic" w:cs="Arial"/>
        </w:rPr>
      </w:pPr>
      <w:r>
        <w:rPr>
          <w:rFonts w:ascii="Century Gothic" w:hAnsi="Century Gothic" w:cs="Arial"/>
        </w:rPr>
        <w:t>Las vacunas que no hayan sido administradas al finalizar la campaña deben permanecer en la nevera hasta que se reciban instrucciones de la Gerencia para su devolución.</w:t>
      </w:r>
    </w:p>
    <w:p w:rsidR="00004D90" w:rsidRDefault="00EA0917">
      <w:pPr>
        <w:autoSpaceDE w:val="0"/>
        <w:spacing w:before="240" w:after="0" w:line="240" w:lineRule="auto"/>
        <w:jc w:val="both"/>
      </w:pPr>
      <w:r w:rsidRPr="00EA0917">
        <w:rPr>
          <w:rFonts w:ascii="Century Gothic" w:eastAsia="CenturyGothic" w:hAnsi="Century Gothic" w:cs="CenturyGothic"/>
          <w:bCs/>
        </w:rPr>
        <w:t>Se deben comunicar al finalizar la campaña el nº de vacunas perdidas, cualquiera que sea la causa.</w:t>
      </w:r>
    </w:p>
    <w:p w:rsidR="00DD7D70" w:rsidRDefault="00DD7D70">
      <w:pPr>
        <w:pStyle w:val="WW-Default"/>
        <w:jc w:val="center"/>
        <w:rPr>
          <w:rFonts w:ascii="Century Gothic" w:eastAsia="CenturyGothic" w:hAnsi="Century Gothic" w:cs="CenturyGothic"/>
          <w:b/>
          <w:bCs/>
        </w:rPr>
      </w:pPr>
    </w:p>
    <w:p w:rsidR="00472371" w:rsidRDefault="00472371">
      <w:pPr>
        <w:autoSpaceDE w:val="0"/>
        <w:spacing w:after="0" w:line="240" w:lineRule="auto"/>
        <w:rPr>
          <w:rFonts w:ascii="Century Gothic" w:eastAsia="CenturyGothic" w:hAnsi="Century Gothic" w:cs="CenturyGothic"/>
          <w:b/>
          <w:bCs/>
        </w:rPr>
      </w:pPr>
    </w:p>
    <w:p w:rsidR="00472371" w:rsidRDefault="00472371">
      <w:pPr>
        <w:autoSpaceDE w:val="0"/>
        <w:spacing w:after="0" w:line="240" w:lineRule="auto"/>
        <w:rPr>
          <w:rFonts w:ascii="Century Gothic" w:eastAsia="CenturyGothic" w:hAnsi="Century Gothic" w:cs="CenturyGothic"/>
          <w:b/>
          <w:bCs/>
        </w:rPr>
      </w:pPr>
    </w:p>
    <w:p w:rsidR="003F3B93" w:rsidRDefault="003F3B93">
      <w:pPr>
        <w:autoSpaceDE w:val="0"/>
        <w:spacing w:after="0" w:line="240" w:lineRule="auto"/>
        <w:rPr>
          <w:rFonts w:ascii="Century Gothic" w:eastAsia="CenturyGothic" w:hAnsi="Century Gothic" w:cs="CenturyGothic"/>
          <w:b/>
          <w:bCs/>
        </w:rPr>
      </w:pPr>
    </w:p>
    <w:p w:rsidR="003F3B93" w:rsidRDefault="003F3B93">
      <w:pPr>
        <w:autoSpaceDE w:val="0"/>
        <w:spacing w:after="0" w:line="240" w:lineRule="auto"/>
        <w:rPr>
          <w:rFonts w:ascii="Century Gothic" w:eastAsia="CenturyGothic" w:hAnsi="Century Gothic" w:cs="CenturyGothic"/>
          <w:b/>
          <w:bCs/>
        </w:rPr>
      </w:pPr>
    </w:p>
    <w:p w:rsidR="003F3B93" w:rsidRDefault="003F3B93">
      <w:pPr>
        <w:autoSpaceDE w:val="0"/>
        <w:spacing w:after="0" w:line="240" w:lineRule="auto"/>
        <w:rPr>
          <w:rFonts w:ascii="Century Gothic" w:eastAsia="CenturyGothic" w:hAnsi="Century Gothic" w:cs="CenturyGothic"/>
          <w:b/>
          <w:bCs/>
        </w:rPr>
      </w:pPr>
    </w:p>
    <w:p w:rsidR="003F3B93" w:rsidRDefault="003F3B93">
      <w:pPr>
        <w:autoSpaceDE w:val="0"/>
        <w:spacing w:after="0" w:line="240" w:lineRule="auto"/>
        <w:rPr>
          <w:rFonts w:ascii="Century Gothic" w:eastAsia="CenturyGothic" w:hAnsi="Century Gothic" w:cs="CenturyGothic"/>
          <w:b/>
          <w:bCs/>
        </w:rPr>
      </w:pPr>
    </w:p>
    <w:p w:rsidR="003F3B93" w:rsidRDefault="003F3B93">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rPr>
      </w:pPr>
    </w:p>
    <w:p w:rsidR="003F3B93" w:rsidRDefault="003F3B93">
      <w:pPr>
        <w:autoSpaceDE w:val="0"/>
        <w:spacing w:after="0" w:line="240" w:lineRule="auto"/>
        <w:rPr>
          <w:rFonts w:ascii="Century Gothic" w:eastAsia="CenturyGothic" w:hAnsi="Century Gothic" w:cs="CenturyGothic"/>
          <w:b/>
          <w:bCs/>
        </w:rPr>
      </w:pPr>
    </w:p>
    <w:p w:rsidR="003F3B93" w:rsidRDefault="003F3B93">
      <w:pPr>
        <w:autoSpaceDE w:val="0"/>
        <w:spacing w:after="0" w:line="240" w:lineRule="auto"/>
        <w:rPr>
          <w:rFonts w:ascii="Century Gothic" w:eastAsia="CenturyGothic" w:hAnsi="Century Gothic" w:cs="CenturyGothic"/>
          <w:b/>
          <w:bCs/>
        </w:rPr>
      </w:pPr>
    </w:p>
    <w:p w:rsidR="00EA0917" w:rsidRDefault="00EA0917">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Default="004854FC">
      <w:pPr>
        <w:autoSpaceDE w:val="0"/>
        <w:spacing w:after="0" w:line="240" w:lineRule="auto"/>
        <w:rPr>
          <w:rFonts w:ascii="Century Gothic" w:eastAsia="CenturyGothic" w:hAnsi="Century Gothic" w:cs="CenturyGothic"/>
          <w:b/>
          <w:bCs/>
          <w:color w:val="FF0000"/>
        </w:rPr>
      </w:pPr>
    </w:p>
    <w:p w:rsidR="004854FC" w:rsidRPr="004854FC" w:rsidRDefault="004854FC" w:rsidP="004854FC">
      <w:pPr>
        <w:autoSpaceDE w:val="0"/>
        <w:spacing w:after="0" w:line="240" w:lineRule="auto"/>
        <w:jc w:val="center"/>
        <w:rPr>
          <w:rFonts w:ascii="Century Gothic" w:eastAsia="CenturyGothic" w:hAnsi="Century Gothic" w:cs="CenturyGothic"/>
          <w:bCs/>
          <w:sz w:val="160"/>
        </w:rPr>
      </w:pPr>
      <w:r w:rsidRPr="004854FC">
        <w:rPr>
          <w:rFonts w:ascii="Century Gothic" w:eastAsia="CenturyGothic" w:hAnsi="Century Gothic" w:cs="CenturyGothic"/>
          <w:bCs/>
          <w:sz w:val="160"/>
        </w:rPr>
        <w:t>Anexos</w:t>
      </w:r>
    </w:p>
    <w:p w:rsidR="00DD7D70" w:rsidRDefault="00EC3F2D">
      <w:pPr>
        <w:pStyle w:val="WW-Default"/>
        <w:jc w:val="center"/>
        <w:rPr>
          <w:b/>
        </w:rPr>
      </w:pPr>
      <w:r>
        <w:rPr>
          <w:noProof/>
          <w:lang w:eastAsia="es-ES"/>
        </w:rPr>
        <w:lastRenderedPageBreak/>
        <w:drawing>
          <wp:inline distT="0" distB="0" distL="0" distR="0" wp14:anchorId="5C1C9234" wp14:editId="104E7EDC">
            <wp:extent cx="6209328" cy="8776475"/>
            <wp:effectExtent l="0" t="0" r="127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1223" cy="8779154"/>
                    </a:xfrm>
                    <a:prstGeom prst="rect">
                      <a:avLst/>
                    </a:prstGeom>
                  </pic:spPr>
                </pic:pic>
              </a:graphicData>
            </a:graphic>
          </wp:inline>
        </w:drawing>
      </w:r>
    </w:p>
    <w:p w:rsidR="00DD7D70" w:rsidRDefault="00EC3F2D">
      <w:pPr>
        <w:pStyle w:val="WW-Default"/>
        <w:jc w:val="center"/>
        <w:rPr>
          <w:b/>
        </w:rPr>
      </w:pPr>
      <w:r w:rsidRPr="00EC3F2D">
        <w:rPr>
          <w:b/>
          <w:noProof/>
          <w:lang w:eastAsia="es-ES"/>
        </w:rPr>
        <w:lastRenderedPageBreak/>
        <w:drawing>
          <wp:inline distT="0" distB="0" distL="0" distR="0">
            <wp:extent cx="6506868" cy="9225886"/>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1151" cy="9231959"/>
                    </a:xfrm>
                    <a:prstGeom prst="rect">
                      <a:avLst/>
                    </a:prstGeom>
                    <a:noFill/>
                    <a:ln>
                      <a:noFill/>
                    </a:ln>
                  </pic:spPr>
                </pic:pic>
              </a:graphicData>
            </a:graphic>
          </wp:inline>
        </w:drawing>
      </w:r>
    </w:p>
    <w:p w:rsidR="00EC3F2D" w:rsidRDefault="00EC3F2D">
      <w:pPr>
        <w:pStyle w:val="WW-Default"/>
        <w:jc w:val="center"/>
        <w:rPr>
          <w:b/>
        </w:rPr>
      </w:pPr>
      <w:r w:rsidRPr="00EC3F2D">
        <w:rPr>
          <w:b/>
          <w:noProof/>
          <w:lang w:eastAsia="es-ES"/>
        </w:rPr>
        <w:lastRenderedPageBreak/>
        <w:drawing>
          <wp:inline distT="0" distB="0" distL="0" distR="0">
            <wp:extent cx="6493728" cy="9184943"/>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173" cy="9188401"/>
                    </a:xfrm>
                    <a:prstGeom prst="rect">
                      <a:avLst/>
                    </a:prstGeom>
                    <a:noFill/>
                    <a:ln>
                      <a:noFill/>
                    </a:ln>
                  </pic:spPr>
                </pic:pic>
              </a:graphicData>
            </a:graphic>
          </wp:inline>
        </w:drawing>
      </w:r>
    </w:p>
    <w:p w:rsidR="00EC3F2D" w:rsidRDefault="00EC3F2D">
      <w:pPr>
        <w:pStyle w:val="WW-Default"/>
        <w:jc w:val="center"/>
        <w:rPr>
          <w:b/>
        </w:rPr>
      </w:pPr>
      <w:r>
        <w:rPr>
          <w:noProof/>
          <w:lang w:eastAsia="es-ES"/>
        </w:rPr>
        <w:lastRenderedPageBreak/>
        <w:drawing>
          <wp:inline distT="0" distB="0" distL="0" distR="0" wp14:anchorId="3D3F362D" wp14:editId="498EBF25">
            <wp:extent cx="6417294" cy="9144000"/>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19362" cy="9146947"/>
                    </a:xfrm>
                    <a:prstGeom prst="rect">
                      <a:avLst/>
                    </a:prstGeom>
                  </pic:spPr>
                </pic:pic>
              </a:graphicData>
            </a:graphic>
          </wp:inline>
        </w:drawing>
      </w:r>
    </w:p>
    <w:p w:rsidR="00EC3F2D" w:rsidRDefault="00EC3F2D">
      <w:pPr>
        <w:pStyle w:val="WW-Default"/>
        <w:jc w:val="center"/>
        <w:rPr>
          <w:b/>
        </w:rPr>
      </w:pPr>
      <w:r w:rsidRPr="00EC3F2D">
        <w:rPr>
          <w:b/>
          <w:noProof/>
          <w:lang w:eastAsia="es-ES"/>
        </w:rPr>
        <w:lastRenderedPageBreak/>
        <w:drawing>
          <wp:inline distT="0" distB="0" distL="0" distR="0">
            <wp:extent cx="6498373" cy="9212239"/>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2375" cy="9217913"/>
                    </a:xfrm>
                    <a:prstGeom prst="rect">
                      <a:avLst/>
                    </a:prstGeom>
                    <a:noFill/>
                    <a:ln>
                      <a:noFill/>
                    </a:ln>
                  </pic:spPr>
                </pic:pic>
              </a:graphicData>
            </a:graphic>
          </wp:inline>
        </w:drawing>
      </w:r>
    </w:p>
    <w:p w:rsidR="003F3B93" w:rsidRDefault="003F3B93" w:rsidP="003F3B93">
      <w:pPr>
        <w:autoSpaceDE w:val="0"/>
        <w:spacing w:after="0" w:line="240" w:lineRule="auto"/>
        <w:jc w:val="both"/>
        <w:rPr>
          <w:rFonts w:ascii="Century Gothic" w:hAnsi="Century Gothic" w:cs="Arial"/>
          <w:b/>
          <w:color w:val="FF0000"/>
        </w:rPr>
      </w:pPr>
    </w:p>
    <w:p w:rsidR="003F3B93" w:rsidRPr="00657D84" w:rsidRDefault="00CA5A64" w:rsidP="003F3B93">
      <w:pPr>
        <w:autoSpaceDE w:val="0"/>
        <w:spacing w:after="0" w:line="240" w:lineRule="auto"/>
        <w:jc w:val="both"/>
        <w:rPr>
          <w:rFonts w:ascii="Century Gothic" w:hAnsi="Century Gothic" w:cs="Arial"/>
          <w:b/>
        </w:rPr>
      </w:pPr>
      <w:r>
        <w:rPr>
          <w:rFonts w:ascii="Century Gothic" w:hAnsi="Century Gothic" w:cs="Arial"/>
          <w:b/>
        </w:rPr>
        <w:t>2.3</w:t>
      </w:r>
      <w:r w:rsidR="003F3B93" w:rsidRPr="00657D84">
        <w:rPr>
          <w:rFonts w:ascii="Century Gothic" w:hAnsi="Century Gothic" w:cs="Arial"/>
          <w:b/>
        </w:rPr>
        <w:t>. OSELTAMIVIR</w:t>
      </w:r>
    </w:p>
    <w:p w:rsidR="003F3B93" w:rsidRDefault="003F3B93" w:rsidP="003F3B93">
      <w:pPr>
        <w:autoSpaceDE w:val="0"/>
        <w:spacing w:after="0" w:line="240" w:lineRule="auto"/>
        <w:jc w:val="both"/>
        <w:rPr>
          <w:rFonts w:ascii="Century Gothic" w:hAnsi="Century Gothic" w:cs="Arial"/>
          <w:b/>
        </w:rPr>
      </w:pPr>
    </w:p>
    <w:p w:rsidR="003F3B93" w:rsidRDefault="003F3B93" w:rsidP="003F3B93">
      <w:pPr>
        <w:autoSpaceDE w:val="0"/>
        <w:spacing w:after="0" w:line="240" w:lineRule="auto"/>
        <w:jc w:val="both"/>
        <w:rPr>
          <w:rFonts w:ascii="Century Gothic" w:hAnsi="Century Gothic" w:cs="Arial"/>
          <w:b/>
        </w:rPr>
      </w:pPr>
      <w:r>
        <w:rPr>
          <w:rFonts w:ascii="Century Gothic" w:hAnsi="Century Gothic" w:cs="Arial"/>
          <w:b/>
        </w:rPr>
        <w:t>Tratamiento y profilaxis con oseltamivir</w:t>
      </w:r>
    </w:p>
    <w:p w:rsidR="003F3B93" w:rsidRDefault="003F3B93" w:rsidP="003F3B93">
      <w:pPr>
        <w:autoSpaceDE w:val="0"/>
        <w:spacing w:before="240" w:after="0" w:line="240" w:lineRule="auto"/>
        <w:jc w:val="both"/>
        <w:rPr>
          <w:rFonts w:ascii="Century Gothic" w:hAnsi="Century Gothic" w:cs="Arial"/>
        </w:rPr>
      </w:pPr>
      <w:r>
        <w:rPr>
          <w:rFonts w:ascii="Century Gothic" w:hAnsi="Century Gothic" w:cs="Arial"/>
          <w:b/>
        </w:rPr>
        <w:t>Indicaciones</w:t>
      </w:r>
    </w:p>
    <w:p w:rsidR="003F3B93" w:rsidRDefault="003F3B93" w:rsidP="003F3B93">
      <w:pPr>
        <w:autoSpaceDE w:val="0"/>
        <w:spacing w:after="0" w:line="240" w:lineRule="auto"/>
        <w:jc w:val="both"/>
        <w:rPr>
          <w:rFonts w:ascii="Century Gothic" w:hAnsi="Century Gothic" w:cs="Arial"/>
        </w:rPr>
      </w:pPr>
      <w:r>
        <w:rPr>
          <w:rFonts w:ascii="Century Gothic" w:hAnsi="Century Gothic" w:cs="Arial"/>
        </w:rPr>
        <w:t>El oseltamivir está indicado en el tratamiento de la gripe estacional de los pacientes con infección confirmada o altamente sospechosa, con independencia de la severidad de la enfermedad, siempre que pertenezcan a uno de los siguientes grupos de riesgo:</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Mujeres embarazadas</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Enfermedades cardiovasculares crónicas (excepto hipertensión)</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Enfermedades respiratorias crónicas</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Diabetes tipo I y tipo II con tratamiento farmacológico</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Insuficiencia renal moderada-grave</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Hemoglobinopatías y anemias moderadas-graves</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Asplenia</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Enfermedad hepática avanzada</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Enfermedades neuromusculares graves</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Pacientes con inmunosupresión</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Obesidad mórbida (índice de masa corporal igual o superior a 40)</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Niños y adolescentes, &lt; 18 años, que reciben tratamiento prolongado con ácido acetilsalicílico, por la posibilidad de desarrollar un síndrome de Reye</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Implante coclear</w:t>
      </w:r>
    </w:p>
    <w:p w:rsidR="003F3B93" w:rsidRDefault="003F3B93" w:rsidP="003F3B93">
      <w:pPr>
        <w:numPr>
          <w:ilvl w:val="0"/>
          <w:numId w:val="12"/>
        </w:numPr>
        <w:autoSpaceDE w:val="0"/>
        <w:spacing w:after="0" w:line="240" w:lineRule="auto"/>
        <w:jc w:val="both"/>
        <w:rPr>
          <w:rFonts w:ascii="Century Gothic" w:hAnsi="Century Gothic" w:cs="Arial"/>
        </w:rPr>
      </w:pPr>
      <w:r>
        <w:rPr>
          <w:rFonts w:ascii="Century Gothic" w:hAnsi="Century Gothic" w:cs="Arial"/>
        </w:rPr>
        <w:t>Pacientes oncológicos</w:t>
      </w:r>
    </w:p>
    <w:p w:rsidR="003F3B93" w:rsidRDefault="003F3B93" w:rsidP="003F3B93">
      <w:pPr>
        <w:autoSpaceDE w:val="0"/>
        <w:spacing w:before="240" w:after="0" w:line="240" w:lineRule="auto"/>
        <w:jc w:val="both"/>
        <w:rPr>
          <w:rFonts w:ascii="Century Gothic" w:hAnsi="Century Gothic" w:cs="Arial"/>
        </w:rPr>
      </w:pPr>
      <w:r>
        <w:rPr>
          <w:rFonts w:ascii="Century Gothic" w:hAnsi="Century Gothic" w:cs="Arial"/>
        </w:rPr>
        <w:t>En estos mismos grupos de riesgo también podría utilizarse como profilaxis:</w:t>
      </w:r>
    </w:p>
    <w:p w:rsidR="003F3B93" w:rsidRDefault="003F3B93" w:rsidP="003F3B93">
      <w:pPr>
        <w:numPr>
          <w:ilvl w:val="0"/>
          <w:numId w:val="24"/>
        </w:numPr>
        <w:autoSpaceDE w:val="0"/>
        <w:spacing w:after="0" w:line="240" w:lineRule="auto"/>
        <w:jc w:val="both"/>
        <w:rPr>
          <w:rFonts w:ascii="Century Gothic" w:hAnsi="Century Gothic" w:cs="Arial"/>
        </w:rPr>
      </w:pPr>
      <w:r>
        <w:rPr>
          <w:rFonts w:ascii="Century Gothic" w:hAnsi="Century Gothic" w:cs="Arial"/>
        </w:rPr>
        <w:t>si la vacuna está contraindicada</w:t>
      </w:r>
    </w:p>
    <w:p w:rsidR="003F3B93" w:rsidRDefault="003F3B93" w:rsidP="003F3B93">
      <w:pPr>
        <w:numPr>
          <w:ilvl w:val="0"/>
          <w:numId w:val="24"/>
        </w:numPr>
        <w:autoSpaceDE w:val="0"/>
        <w:spacing w:after="0" w:line="240" w:lineRule="auto"/>
        <w:jc w:val="both"/>
        <w:rPr>
          <w:rFonts w:ascii="Century Gothic" w:hAnsi="Century Gothic" w:cs="Arial"/>
        </w:rPr>
      </w:pPr>
      <w:r>
        <w:rPr>
          <w:rFonts w:ascii="Century Gothic" w:hAnsi="Century Gothic" w:cs="Arial"/>
        </w:rPr>
        <w:t>si ocurre exposición al virus en las dos semanas tras la vacunación (tiempo necesario para formar los anticuerpos)</w:t>
      </w:r>
    </w:p>
    <w:p w:rsidR="003F3B93" w:rsidRDefault="003F3B93" w:rsidP="003F3B93">
      <w:pPr>
        <w:numPr>
          <w:ilvl w:val="0"/>
          <w:numId w:val="24"/>
        </w:numPr>
        <w:autoSpaceDE w:val="0"/>
        <w:spacing w:after="0" w:line="240" w:lineRule="auto"/>
        <w:jc w:val="both"/>
        <w:rPr>
          <w:rFonts w:ascii="Century Gothic" w:hAnsi="Century Gothic" w:cs="Arial"/>
        </w:rPr>
      </w:pPr>
      <w:r>
        <w:rPr>
          <w:rFonts w:ascii="Century Gothic" w:hAnsi="Century Gothic" w:cs="Arial"/>
        </w:rPr>
        <w:t>si se espera baja seroconversión</w:t>
      </w:r>
    </w:p>
    <w:p w:rsidR="003F3B93" w:rsidRDefault="003F3B93" w:rsidP="003F3B93">
      <w:pPr>
        <w:numPr>
          <w:ilvl w:val="0"/>
          <w:numId w:val="24"/>
        </w:numPr>
        <w:autoSpaceDE w:val="0"/>
        <w:spacing w:after="0" w:line="240" w:lineRule="auto"/>
        <w:jc w:val="both"/>
        <w:rPr>
          <w:rFonts w:ascii="Century Gothic" w:hAnsi="Century Gothic" w:cs="Arial"/>
        </w:rPr>
      </w:pPr>
      <w:r>
        <w:rPr>
          <w:rFonts w:ascii="Century Gothic" w:hAnsi="Century Gothic" w:cs="Arial"/>
        </w:rPr>
        <w:t>si el virus circulante no está incluido en la vacuna, etc.</w:t>
      </w:r>
    </w:p>
    <w:p w:rsidR="003F3B93" w:rsidRDefault="003F3B93" w:rsidP="003F3B93">
      <w:pPr>
        <w:autoSpaceDE w:val="0"/>
        <w:spacing w:after="0" w:line="240" w:lineRule="auto"/>
        <w:jc w:val="both"/>
        <w:rPr>
          <w:rFonts w:ascii="Century Gothic" w:hAnsi="Century Gothic" w:cs="Arial"/>
        </w:rPr>
      </w:pPr>
    </w:p>
    <w:p w:rsidR="003F3B93" w:rsidRDefault="003F3B93" w:rsidP="003F3B93">
      <w:pPr>
        <w:autoSpaceDE w:val="0"/>
        <w:spacing w:after="0" w:line="240" w:lineRule="auto"/>
        <w:jc w:val="both"/>
        <w:rPr>
          <w:rFonts w:ascii="Century Gothic" w:hAnsi="Century Gothic" w:cs="Arial"/>
        </w:rPr>
      </w:pPr>
    </w:p>
    <w:p w:rsidR="003F3B93" w:rsidRDefault="003F3B93" w:rsidP="003F3B93">
      <w:pPr>
        <w:autoSpaceDE w:val="0"/>
        <w:spacing w:after="0" w:line="240" w:lineRule="auto"/>
      </w:pPr>
      <w:r>
        <w:rPr>
          <w:rFonts w:ascii="Century Gothic" w:eastAsia="CenturyGothic" w:hAnsi="Century Gothic" w:cs="Arial"/>
          <w:b/>
          <w:bCs/>
        </w:rPr>
        <w:t>Posología</w:t>
      </w:r>
    </w:p>
    <w:p w:rsidR="003F3B93" w:rsidRDefault="003F3B93" w:rsidP="003F3B93">
      <w:pPr>
        <w:autoSpaceDE w:val="0"/>
        <w:spacing w:after="0" w:line="240" w:lineRule="auto"/>
        <w:rPr>
          <w:rFonts w:ascii="Century Gothic" w:hAnsi="Century Gothic" w:cs="Arial"/>
          <w:b/>
          <w:shd w:val="clear" w:color="auto" w:fill="FFFF00"/>
        </w:rPr>
      </w:pPr>
      <w:r>
        <w:rPr>
          <w:rFonts w:ascii="Century Gothic" w:eastAsia="CenturyGothic" w:hAnsi="Century Gothic" w:cs="Arial"/>
          <w:b/>
          <w:bCs/>
          <w:noProof/>
          <w:shd w:val="clear" w:color="auto" w:fill="FFFF00"/>
          <w:lang w:eastAsia="es-ES"/>
        </w:rPr>
        <w:drawing>
          <wp:inline distT="0" distB="0" distL="0" distR="0" wp14:anchorId="3B32F7ED" wp14:editId="2D5E2108">
            <wp:extent cx="5424805" cy="10433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4805" cy="1043305"/>
                    </a:xfrm>
                    <a:prstGeom prst="rect">
                      <a:avLst/>
                    </a:prstGeom>
                    <a:solidFill>
                      <a:srgbClr val="FFFFFF"/>
                    </a:solidFill>
                    <a:ln>
                      <a:noFill/>
                    </a:ln>
                  </pic:spPr>
                </pic:pic>
              </a:graphicData>
            </a:graphic>
          </wp:inline>
        </w:drawing>
      </w:r>
    </w:p>
    <w:p w:rsidR="003F3B93" w:rsidRDefault="003F3B93" w:rsidP="003F3B93">
      <w:pPr>
        <w:autoSpaceDE w:val="0"/>
        <w:spacing w:after="0" w:line="240" w:lineRule="auto"/>
        <w:jc w:val="both"/>
        <w:rPr>
          <w:rFonts w:ascii="Century Gothic" w:hAnsi="Century Gothic" w:cs="Arial"/>
          <w:b/>
          <w:shd w:val="clear" w:color="auto" w:fill="FFFF00"/>
        </w:rPr>
      </w:pPr>
    </w:p>
    <w:p w:rsidR="003F3B93" w:rsidRDefault="003F3B93" w:rsidP="003F3B93">
      <w:pPr>
        <w:autoSpaceDE w:val="0"/>
        <w:spacing w:after="0" w:line="240" w:lineRule="auto"/>
        <w:jc w:val="both"/>
        <w:rPr>
          <w:rFonts w:ascii="Century Gothic" w:hAnsi="Century Gothic" w:cs="Arial"/>
          <w:b/>
          <w:shd w:val="clear" w:color="auto" w:fill="FFFF00"/>
        </w:rPr>
      </w:pPr>
    </w:p>
    <w:p w:rsidR="003F3B93" w:rsidRDefault="003F3B93" w:rsidP="003F3B93">
      <w:pPr>
        <w:autoSpaceDE w:val="0"/>
        <w:spacing w:after="0" w:line="240" w:lineRule="auto"/>
        <w:jc w:val="both"/>
        <w:rPr>
          <w:rFonts w:ascii="Century Gothic" w:hAnsi="Century Gothic" w:cs="Arial"/>
          <w:b/>
        </w:rPr>
      </w:pPr>
      <w:r>
        <w:rPr>
          <w:rFonts w:ascii="Century Gothic" w:hAnsi="Century Gothic" w:cs="Arial"/>
          <w:b/>
        </w:rPr>
        <w:t>Disponibilidad del oseltamivir</w:t>
      </w:r>
    </w:p>
    <w:p w:rsidR="003F3B93" w:rsidRDefault="003F3B93" w:rsidP="003F3B93">
      <w:pPr>
        <w:autoSpaceDE w:val="0"/>
        <w:spacing w:after="0" w:line="240" w:lineRule="auto"/>
        <w:jc w:val="both"/>
        <w:rPr>
          <w:rFonts w:ascii="Century Gothic" w:hAnsi="Century Gothic" w:cs="Arial"/>
          <w:shd w:val="clear" w:color="auto" w:fill="FFFF00"/>
        </w:rPr>
      </w:pPr>
    </w:p>
    <w:p w:rsidR="003F3B93" w:rsidRPr="004854FC" w:rsidRDefault="003F3B93" w:rsidP="003F3B93">
      <w:pPr>
        <w:autoSpaceDE w:val="0"/>
        <w:spacing w:after="0" w:line="240" w:lineRule="auto"/>
        <w:jc w:val="both"/>
        <w:rPr>
          <w:rStyle w:val="nfasissutil"/>
        </w:rPr>
      </w:pPr>
      <w:r w:rsidRPr="00216BE9">
        <w:rPr>
          <w:rStyle w:val="nfasissutil"/>
        </w:rPr>
        <w:t xml:space="preserve">El oseltamivir disponible para esta campaña es el Oseltamivir 30 mg comprimidos, envasado por el Ministerio de Defensa, que mantiene </w:t>
      </w:r>
      <w:r>
        <w:rPr>
          <w:rStyle w:val="nfasissutil"/>
        </w:rPr>
        <w:t xml:space="preserve">aún </w:t>
      </w:r>
      <w:r w:rsidRPr="00216BE9">
        <w:rPr>
          <w:rStyle w:val="nfasissutil"/>
        </w:rPr>
        <w:t>su estabilidad y validez después de su fabricación (2009</w:t>
      </w:r>
      <w:r w:rsidRPr="004854FC">
        <w:rPr>
          <w:rStyle w:val="nfasissutil"/>
        </w:rPr>
        <w:t>) según indicación remitida desde</w:t>
      </w:r>
      <w:r w:rsidR="00657D84" w:rsidRPr="004854FC">
        <w:rPr>
          <w:rStyle w:val="nfasissutil"/>
        </w:rPr>
        <w:t xml:space="preserve"> la AEMPS.</w:t>
      </w:r>
    </w:p>
    <w:p w:rsidR="003F3B93" w:rsidRPr="003F3B93" w:rsidRDefault="003F3B93" w:rsidP="003F3B93">
      <w:pPr>
        <w:autoSpaceDE w:val="0"/>
        <w:spacing w:before="240" w:after="0" w:line="240" w:lineRule="auto"/>
        <w:jc w:val="both"/>
        <w:rPr>
          <w:i/>
          <w:iCs/>
          <w:color w:val="404040" w:themeColor="text1" w:themeTint="BF"/>
        </w:rPr>
      </w:pPr>
      <w:r w:rsidRPr="004854FC">
        <w:rPr>
          <w:rStyle w:val="nfasissutil"/>
        </w:rPr>
        <w:t>Se debe tener en cuenta</w:t>
      </w:r>
      <w:r w:rsidRPr="00216BE9">
        <w:rPr>
          <w:rStyle w:val="nfasissutil"/>
        </w:rPr>
        <w:t xml:space="preserve"> que en el material de acondicionamiento del oseltamivir figura la fecha de fabricación del lote y no la de caducidad, para evitar problemas de re-etiquetado posterior. Es posible solicitarlo al Servicio de Farm</w:t>
      </w:r>
      <w:r>
        <w:rPr>
          <w:rStyle w:val="nfasissutil"/>
        </w:rPr>
        <w:t>acia por los cauces habituales.</w:t>
      </w:r>
    </w:p>
    <w:p w:rsidR="00657D84" w:rsidRDefault="00657D84" w:rsidP="003315BD">
      <w:pPr>
        <w:autoSpaceDE w:val="0"/>
        <w:spacing w:after="0" w:line="240" w:lineRule="auto"/>
        <w:rPr>
          <w:rFonts w:ascii="Century Gothic" w:eastAsia="CenturyGothic" w:hAnsi="Century Gothic" w:cs="CenturyGothic"/>
          <w:b/>
          <w:bCs/>
        </w:rPr>
      </w:pPr>
    </w:p>
    <w:p w:rsidR="00657D84" w:rsidRDefault="00657D84" w:rsidP="003315BD">
      <w:pPr>
        <w:autoSpaceDE w:val="0"/>
        <w:spacing w:after="0" w:line="240" w:lineRule="auto"/>
        <w:rPr>
          <w:rFonts w:ascii="Century Gothic" w:eastAsia="CenturyGothic" w:hAnsi="Century Gothic" w:cs="CenturyGothic"/>
          <w:b/>
          <w:bCs/>
        </w:rPr>
      </w:pPr>
    </w:p>
    <w:p w:rsidR="00657D84" w:rsidRDefault="00657D84" w:rsidP="003315BD">
      <w:pPr>
        <w:autoSpaceDE w:val="0"/>
        <w:spacing w:after="0" w:line="240" w:lineRule="auto"/>
        <w:rPr>
          <w:rFonts w:ascii="Century Gothic" w:eastAsia="CenturyGothic" w:hAnsi="Century Gothic" w:cs="CenturyGothic"/>
          <w:b/>
          <w:bCs/>
        </w:rPr>
      </w:pPr>
    </w:p>
    <w:p w:rsidR="003315BD" w:rsidRDefault="00CA5A64" w:rsidP="003315BD">
      <w:pPr>
        <w:autoSpaceDE w:val="0"/>
        <w:spacing w:after="0" w:line="240" w:lineRule="auto"/>
        <w:rPr>
          <w:rFonts w:ascii="Century Gothic" w:eastAsia="CenturyGothic" w:hAnsi="Century Gothic" w:cs="CenturyGothic"/>
          <w:b/>
          <w:bCs/>
        </w:rPr>
      </w:pPr>
      <w:r>
        <w:rPr>
          <w:rFonts w:ascii="Century Gothic" w:eastAsia="CenturyGothic" w:hAnsi="Century Gothic" w:cs="CenturyGothic"/>
          <w:b/>
          <w:bCs/>
        </w:rPr>
        <w:lastRenderedPageBreak/>
        <w:t>2.</w:t>
      </w:r>
      <w:r w:rsidR="00657D84">
        <w:rPr>
          <w:rFonts w:ascii="Century Gothic" w:eastAsia="CenturyGothic" w:hAnsi="Century Gothic" w:cs="CenturyGothic"/>
          <w:b/>
          <w:bCs/>
        </w:rPr>
        <w:t>4.</w:t>
      </w:r>
      <w:r w:rsidR="003F3B93">
        <w:rPr>
          <w:rFonts w:ascii="Century Gothic" w:eastAsia="CenturyGothic" w:hAnsi="Century Gothic" w:cs="CenturyGothic"/>
          <w:b/>
          <w:bCs/>
        </w:rPr>
        <w:t xml:space="preserve"> </w:t>
      </w:r>
      <w:r w:rsidR="00CC29FA">
        <w:rPr>
          <w:rFonts w:ascii="Century Gothic" w:eastAsia="CenturyGothic" w:hAnsi="Century Gothic" w:cs="CenturyGothic"/>
          <w:b/>
          <w:bCs/>
        </w:rPr>
        <w:t>PUNTOS DE REPARTO</w:t>
      </w:r>
    </w:p>
    <w:p w:rsidR="003315BD" w:rsidRDefault="003315BD" w:rsidP="003315BD">
      <w:pPr>
        <w:pStyle w:val="WW-Default"/>
        <w:jc w:val="both"/>
        <w:rPr>
          <w:rFonts w:ascii="Arial" w:hAnsi="Arial" w:cs="Arial"/>
          <w:b/>
          <w:i/>
        </w:rPr>
      </w:pPr>
    </w:p>
    <w:tbl>
      <w:tblPr>
        <w:tblW w:w="0" w:type="auto"/>
        <w:tblLayout w:type="fixed"/>
        <w:tblCellMar>
          <w:left w:w="70" w:type="dxa"/>
          <w:right w:w="70" w:type="dxa"/>
        </w:tblCellMar>
        <w:tblLook w:val="04A0" w:firstRow="1" w:lastRow="0" w:firstColumn="1" w:lastColumn="0" w:noHBand="0" w:noVBand="1"/>
      </w:tblPr>
      <w:tblGrid>
        <w:gridCol w:w="2552"/>
        <w:gridCol w:w="2268"/>
        <w:gridCol w:w="1881"/>
        <w:gridCol w:w="670"/>
        <w:gridCol w:w="2170"/>
        <w:gridCol w:w="925"/>
      </w:tblGrid>
      <w:tr w:rsidR="003315BD" w:rsidRPr="00614F58" w:rsidTr="00301A41">
        <w:tc>
          <w:tcPr>
            <w:tcW w:w="10466" w:type="dxa"/>
            <w:gridSpan w:val="6"/>
            <w:tcBorders>
              <w:top w:val="nil"/>
              <w:left w:val="nil"/>
              <w:bottom w:val="nil"/>
              <w:right w:val="nil"/>
            </w:tcBorders>
            <w:shd w:val="clear" w:color="FFFFCC" w:fill="FFFF99"/>
            <w:noWrap/>
            <w:vAlign w:val="center"/>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8"/>
                <w:lang w:eastAsia="es-ES"/>
              </w:rPr>
            </w:pPr>
            <w:r w:rsidRPr="00614F58">
              <w:rPr>
                <w:rFonts w:ascii="Arial" w:eastAsia="Times New Roman" w:hAnsi="Arial" w:cs="Arial"/>
                <w:b/>
                <w:bCs/>
                <w:color w:val="000000"/>
                <w:sz w:val="14"/>
                <w:szCs w:val="18"/>
                <w:lang w:eastAsia="es-ES"/>
              </w:rPr>
              <w:t>Area Santander</w:t>
            </w:r>
          </w:p>
        </w:tc>
      </w:tr>
      <w:tr w:rsidR="003315BD" w:rsidRPr="00614F58" w:rsidTr="00301A41">
        <w:tc>
          <w:tcPr>
            <w:tcW w:w="2552" w:type="dxa"/>
            <w:tcBorders>
              <w:top w:val="single" w:sz="4" w:space="0" w:color="000000"/>
              <w:left w:val="single" w:sz="4" w:space="0" w:color="000000"/>
              <w:bottom w:val="single" w:sz="4" w:space="0" w:color="000000"/>
              <w:right w:val="single" w:sz="4" w:space="0" w:color="000000"/>
            </w:tcBorders>
            <w:shd w:val="clear" w:color="C0C0C0" w:fill="CCCC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8"/>
                <w:lang w:eastAsia="es-ES"/>
              </w:rPr>
            </w:pPr>
            <w:r w:rsidRPr="00614F58">
              <w:rPr>
                <w:rFonts w:ascii="Arial" w:eastAsia="Times New Roman" w:hAnsi="Arial" w:cs="Arial"/>
                <w:b/>
                <w:bCs/>
                <w:color w:val="000000"/>
                <w:sz w:val="14"/>
                <w:szCs w:val="18"/>
                <w:lang w:eastAsia="es-ES"/>
              </w:rPr>
              <w:t>DESTINATARIO</w:t>
            </w:r>
          </w:p>
        </w:tc>
        <w:tc>
          <w:tcPr>
            <w:tcW w:w="2268" w:type="dxa"/>
            <w:tcBorders>
              <w:top w:val="single" w:sz="4" w:space="0" w:color="000000"/>
              <w:left w:val="nil"/>
              <w:bottom w:val="single" w:sz="4" w:space="0" w:color="000000"/>
              <w:right w:val="single" w:sz="4" w:space="0" w:color="000000"/>
            </w:tcBorders>
            <w:shd w:val="clear" w:color="C0C0C0" w:fill="CCCC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8"/>
                <w:lang w:eastAsia="es-ES"/>
              </w:rPr>
            </w:pPr>
            <w:r w:rsidRPr="00614F58">
              <w:rPr>
                <w:rFonts w:ascii="Arial" w:eastAsia="Times New Roman" w:hAnsi="Arial" w:cs="Arial"/>
                <w:b/>
                <w:bCs/>
                <w:color w:val="000000"/>
                <w:sz w:val="14"/>
                <w:szCs w:val="18"/>
                <w:lang w:eastAsia="es-ES"/>
              </w:rPr>
              <w:t>HORARIO DE ENTREGA</w:t>
            </w:r>
          </w:p>
        </w:tc>
        <w:tc>
          <w:tcPr>
            <w:tcW w:w="1881" w:type="dxa"/>
            <w:tcBorders>
              <w:top w:val="single" w:sz="4" w:space="0" w:color="000000"/>
              <w:left w:val="nil"/>
              <w:bottom w:val="single" w:sz="4" w:space="0" w:color="000000"/>
              <w:right w:val="single" w:sz="4" w:space="0" w:color="000000"/>
            </w:tcBorders>
            <w:shd w:val="clear" w:color="C0C0C0" w:fill="CCCC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8"/>
                <w:lang w:eastAsia="es-ES"/>
              </w:rPr>
            </w:pPr>
            <w:r w:rsidRPr="00614F58">
              <w:rPr>
                <w:rFonts w:ascii="Arial" w:eastAsia="Times New Roman" w:hAnsi="Arial" w:cs="Arial"/>
                <w:b/>
                <w:bCs/>
                <w:color w:val="000000"/>
                <w:sz w:val="14"/>
                <w:szCs w:val="18"/>
                <w:lang w:eastAsia="es-ES"/>
              </w:rPr>
              <w:t>DIRECCION</w:t>
            </w:r>
          </w:p>
        </w:tc>
        <w:tc>
          <w:tcPr>
            <w:tcW w:w="670" w:type="dxa"/>
            <w:tcBorders>
              <w:top w:val="single" w:sz="4" w:space="0" w:color="000000"/>
              <w:left w:val="nil"/>
              <w:bottom w:val="single" w:sz="4" w:space="0" w:color="000000"/>
              <w:right w:val="single" w:sz="4" w:space="0" w:color="000000"/>
            </w:tcBorders>
            <w:shd w:val="clear" w:color="C0C0C0" w:fill="CCCCFF"/>
            <w:noWrap/>
            <w:vAlign w:val="center"/>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8"/>
                <w:lang w:eastAsia="es-ES"/>
              </w:rPr>
            </w:pPr>
            <w:r w:rsidRPr="00614F58">
              <w:rPr>
                <w:rFonts w:ascii="Arial" w:eastAsia="Times New Roman" w:hAnsi="Arial" w:cs="Arial"/>
                <w:b/>
                <w:bCs/>
                <w:color w:val="000000"/>
                <w:sz w:val="14"/>
                <w:szCs w:val="18"/>
                <w:lang w:eastAsia="es-ES"/>
              </w:rPr>
              <w:t>C.P</w:t>
            </w:r>
          </w:p>
        </w:tc>
        <w:tc>
          <w:tcPr>
            <w:tcW w:w="2170" w:type="dxa"/>
            <w:tcBorders>
              <w:top w:val="single" w:sz="4" w:space="0" w:color="000000"/>
              <w:left w:val="nil"/>
              <w:bottom w:val="single" w:sz="4" w:space="0" w:color="000000"/>
              <w:right w:val="single" w:sz="4" w:space="0" w:color="000000"/>
            </w:tcBorders>
            <w:shd w:val="clear" w:color="C0C0C0" w:fill="CCCC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8"/>
                <w:lang w:eastAsia="es-ES"/>
              </w:rPr>
            </w:pPr>
            <w:r w:rsidRPr="00614F58">
              <w:rPr>
                <w:rFonts w:ascii="Arial" w:eastAsia="Times New Roman" w:hAnsi="Arial" w:cs="Arial"/>
                <w:b/>
                <w:bCs/>
                <w:color w:val="000000"/>
                <w:sz w:val="14"/>
                <w:szCs w:val="18"/>
                <w:lang w:eastAsia="es-ES"/>
              </w:rPr>
              <w:t>Población</w:t>
            </w:r>
          </w:p>
        </w:tc>
        <w:tc>
          <w:tcPr>
            <w:tcW w:w="925" w:type="dxa"/>
            <w:tcBorders>
              <w:top w:val="single" w:sz="4" w:space="0" w:color="000000"/>
              <w:left w:val="nil"/>
              <w:bottom w:val="single" w:sz="4" w:space="0" w:color="000000"/>
              <w:right w:val="single" w:sz="4" w:space="0" w:color="000000"/>
            </w:tcBorders>
            <w:shd w:val="clear" w:color="C0C0C0" w:fill="CCCC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8"/>
                <w:lang w:eastAsia="es-ES"/>
              </w:rPr>
            </w:pPr>
            <w:r w:rsidRPr="00614F58">
              <w:rPr>
                <w:rFonts w:ascii="Arial" w:eastAsia="Times New Roman" w:hAnsi="Arial" w:cs="Arial"/>
                <w:b/>
                <w:bCs/>
                <w:color w:val="000000"/>
                <w:sz w:val="14"/>
                <w:szCs w:val="18"/>
                <w:lang w:eastAsia="es-ES"/>
              </w:rPr>
              <w:t>TEFEFONO</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C.S. CAZOÑA</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Avda. Torres Quevedo, 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sz w:val="14"/>
                <w:szCs w:val="18"/>
                <w:lang w:eastAsia="es-ES"/>
              </w:rPr>
            </w:pPr>
            <w:r w:rsidRPr="00614F58">
              <w:rPr>
                <w:rFonts w:ascii="Arial" w:eastAsia="Times New Roman" w:hAnsi="Arial" w:cs="Arial"/>
                <w:sz w:val="14"/>
                <w:szCs w:val="18"/>
                <w:lang w:eastAsia="es-ES"/>
              </w:rPr>
              <w:t>39011</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sz w:val="14"/>
                <w:szCs w:val="18"/>
                <w:lang w:eastAsia="es-ES"/>
              </w:rPr>
            </w:pPr>
            <w:r w:rsidRPr="00614F58">
              <w:rPr>
                <w:rFonts w:ascii="Arial" w:eastAsia="Times New Roman" w:hAnsi="Arial" w:cs="Arial"/>
                <w:sz w:val="14"/>
                <w:szCs w:val="18"/>
                <w:lang w:eastAsia="es-ES"/>
              </w:rPr>
              <w:t>942346239</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EL ALISAL</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Los Ciruelos,52.</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39011</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942322099</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JOSE BARROS-CAMARGO INTERIOR</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Avda. Bilbao, 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39609</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MURIEDAS</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942250494</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CAMARGO COSTA</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Julio de Pablo,s/nº.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39600</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MALIAÑO</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942262819</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Dr MORANTE- DAVILA</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Gral. Dávila, nº. 71</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39006</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942218854</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ASTILLERO</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Avda. Chiclana, 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39610</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ASTILLERO</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942541468</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VILLAESCUSA</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8 a 13 h.</w:t>
            </w:r>
            <w:r w:rsidRPr="00614F58">
              <w:rPr>
                <w:rFonts w:ascii="Arial" w:eastAsia="Times New Roman" w:hAnsi="Arial" w:cs="Arial"/>
                <w:b/>
                <w:bCs/>
                <w:color w:val="000000"/>
                <w:sz w:val="14"/>
                <w:szCs w:val="18"/>
                <w:lang w:eastAsia="es-ES"/>
              </w:rPr>
              <w:t>L- X- J- V.</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Bª. Las Cuevas,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39690</w:t>
            </w:r>
          </w:p>
        </w:tc>
        <w:tc>
          <w:tcPr>
            <w:tcW w:w="21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VILLANUEVA DE VILLAESCUSA</w:t>
            </w:r>
          </w:p>
        </w:tc>
        <w:tc>
          <w:tcPr>
            <w:tcW w:w="925"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942555196</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LIAÑO</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Bª Liaño,s/nº.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39690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LIAÑO DE VILLASCUSA</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942544714</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 S MARINA- CASTILLA HERMIDA</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Castilla, 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39009</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942361620</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 S. PUERTOCHICO</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Tetuán, nº. 59</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39004</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942273828</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 S. VARGAS</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Vargas, nº. 57</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39010</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942203460</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 S. LOS CASTROS</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Avda. Castros, nº.  155</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39012</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942370505</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MONTE</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Bº. Repuente,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39012</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942340915</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 S. ISABEL II</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Isabel II, nº. 17</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39002</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942223550</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 S. SARDINERO</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Alcalde Vega Lamera, 6</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39012</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942291240</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C.R.CUETO</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 xml:space="preserve">9 a 10h . </w:t>
            </w:r>
            <w:r w:rsidRPr="00614F58">
              <w:rPr>
                <w:rFonts w:ascii="Arial" w:eastAsia="Times New Roman" w:hAnsi="Arial" w:cs="Arial"/>
                <w:b/>
                <w:bCs/>
                <w:color w:val="000000"/>
                <w:sz w:val="14"/>
                <w:szCs w:val="18"/>
                <w:lang w:eastAsia="es-ES"/>
              </w:rPr>
              <w:t>L- X -V</w:t>
            </w:r>
            <w:r w:rsidRPr="00614F58">
              <w:rPr>
                <w:rFonts w:ascii="Arial" w:eastAsia="Times New Roman" w:hAnsi="Arial" w:cs="Arial"/>
                <w:color w:val="000000"/>
                <w:sz w:val="14"/>
                <w:szCs w:val="18"/>
                <w:lang w:eastAsia="es-ES"/>
              </w:rPr>
              <w:t xml:space="preserve"> </w:t>
            </w:r>
          </w:p>
        </w:tc>
        <w:tc>
          <w:tcPr>
            <w:tcW w:w="1881"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 de la Salud s/n</w:t>
            </w:r>
          </w:p>
        </w:tc>
        <w:tc>
          <w:tcPr>
            <w:tcW w:w="670"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39012</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942392029</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 xml:space="preserve">C.S.ONTANEDA </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Avda. Diego Manteca, 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39680</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ONTANEDA</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942594500</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LUENA</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12 a 13,30h.</w:t>
            </w:r>
            <w:r w:rsidRPr="00614F58">
              <w:rPr>
                <w:rFonts w:ascii="Arial" w:eastAsia="Times New Roman" w:hAnsi="Arial" w:cs="Arial"/>
                <w:b/>
                <w:bCs/>
                <w:color w:val="000000"/>
                <w:sz w:val="14"/>
                <w:szCs w:val="18"/>
                <w:lang w:eastAsia="es-ES"/>
              </w:rPr>
              <w:t xml:space="preserve"> L-M-J-V</w:t>
            </w:r>
            <w:r w:rsidRPr="00614F58">
              <w:rPr>
                <w:rFonts w:ascii="Arial" w:eastAsia="Times New Roman" w:hAnsi="Arial" w:cs="Arial"/>
                <w:color w:val="000000"/>
                <w:sz w:val="14"/>
                <w:szCs w:val="18"/>
                <w:lang w:eastAsia="es-ES"/>
              </w:rPr>
              <w:t xml:space="preserve"> / 8 a 11h,</w:t>
            </w:r>
            <w:r w:rsidRPr="00614F58">
              <w:rPr>
                <w:rFonts w:ascii="Arial" w:eastAsia="Times New Roman" w:hAnsi="Arial" w:cs="Arial"/>
                <w:b/>
                <w:bCs/>
                <w:color w:val="000000"/>
                <w:sz w:val="14"/>
                <w:szCs w:val="18"/>
                <w:lang w:eastAsia="es-ES"/>
              </w:rPr>
              <w:t>X.</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Bº. Los Pandos,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39680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LUENA</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942595284</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C.R.SAN PEDRO DEL ROMERAL</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8 a  13,30h.</w:t>
            </w:r>
            <w:r w:rsidRPr="00614F58">
              <w:rPr>
                <w:rFonts w:ascii="Arial" w:eastAsia="Times New Roman" w:hAnsi="Arial" w:cs="Arial"/>
                <w:b/>
                <w:bCs/>
                <w:color w:val="000000"/>
                <w:sz w:val="14"/>
                <w:szCs w:val="18"/>
                <w:lang w:eastAsia="es-ES"/>
              </w:rPr>
              <w:t xml:space="preserve"> L- M-J-V </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La Plaza,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39686</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 PEDRO DEL ROMERAL</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942595424</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SANTIURDE</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 a 13: 30h.</w:t>
            </w:r>
            <w:r w:rsidRPr="00614F58">
              <w:rPr>
                <w:rFonts w:ascii="Arial" w:eastAsia="Times New Roman" w:hAnsi="Arial" w:cs="Arial"/>
                <w:b/>
                <w:bCs/>
                <w:color w:val="000000"/>
                <w:sz w:val="14"/>
                <w:szCs w:val="18"/>
                <w:lang w:eastAsia="es-ES"/>
              </w:rPr>
              <w:t>L-X -V.</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Bº. La Portilla,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39698</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SANTIURDE DE TORANZO</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942596251</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VEGA DE PAS</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 a 13,30h.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La Vega de Pas,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39685</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VEGA DE PAS</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942595002</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RENEDO</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Barrio Sorribero Bajo, 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39470</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RENEDO DE PIELAGOS</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942570987</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PUENTE VIESGO</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Casa Médico - Ctra. General.</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39670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PUENTE VIESGO</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942598550</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VARGAS</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Bº. El Puente,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39679</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VARGAS</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942598551</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PUENTE DE ARCE</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Puente Arce,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39478</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PUENTE ARCE</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942575112</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PARBAYON</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8 a 10:30.</w:t>
            </w:r>
            <w:r w:rsidRPr="00614F58">
              <w:rPr>
                <w:rFonts w:ascii="Arial" w:eastAsia="Times New Roman" w:hAnsi="Arial" w:cs="Arial"/>
                <w:b/>
                <w:bCs/>
                <w:color w:val="000000"/>
                <w:sz w:val="14"/>
                <w:szCs w:val="18"/>
                <w:lang w:eastAsia="es-ES"/>
              </w:rPr>
              <w:t>L-X- J</w:t>
            </w:r>
            <w:r w:rsidRPr="00614F58">
              <w:rPr>
                <w:rFonts w:ascii="Arial" w:eastAsia="Times New Roman" w:hAnsi="Arial" w:cs="Arial"/>
                <w:color w:val="000000"/>
                <w:sz w:val="14"/>
                <w:szCs w:val="18"/>
                <w:lang w:eastAsia="es-ES"/>
              </w:rPr>
              <w:t xml:space="preserve"> / 12:30 a 14h. </w:t>
            </w:r>
            <w:r w:rsidRPr="00614F58">
              <w:rPr>
                <w:rFonts w:ascii="Arial" w:eastAsia="Times New Roman" w:hAnsi="Arial" w:cs="Arial"/>
                <w:b/>
                <w:bCs/>
                <w:color w:val="000000"/>
                <w:sz w:val="14"/>
                <w:szCs w:val="18"/>
                <w:lang w:eastAsia="es-ES"/>
              </w:rPr>
              <w:t>V.</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Barrio de la Calle,s/nº.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39480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PARBAYON</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942586768</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BOO DE PIELAGOS</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Boo de Piélagos,s/nº.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39478</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BOO DE PIELAGOS</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942586216</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SELAYA</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Plaza Jacobo Roldan, 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39696</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SELAYA</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942590412</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VILLACARRIEDO</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8 a 13,30h</w:t>
            </w:r>
            <w:r w:rsidRPr="00614F58">
              <w:rPr>
                <w:rFonts w:ascii="Arial" w:eastAsia="Times New Roman" w:hAnsi="Arial" w:cs="Arial"/>
                <w:b/>
                <w:bCs/>
                <w:color w:val="000000"/>
                <w:sz w:val="14"/>
                <w:szCs w:val="18"/>
                <w:lang w:eastAsia="es-ES"/>
              </w:rPr>
              <w:t>.L-X-V</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Pza. Jacobo Roldan,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39640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VILLACARRIEDO</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942590678</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VILLAFUFRE</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8 a 13,30h.</w:t>
            </w:r>
            <w:r w:rsidRPr="00614F58">
              <w:rPr>
                <w:rFonts w:ascii="Arial" w:eastAsia="Times New Roman" w:hAnsi="Arial" w:cs="Arial"/>
                <w:b/>
                <w:bCs/>
                <w:color w:val="000000"/>
                <w:sz w:val="14"/>
                <w:szCs w:val="18"/>
                <w:lang w:eastAsia="es-ES"/>
              </w:rPr>
              <w:t>L-X-V.</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Vega de Villafufre,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39638</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VEGA DE VILLAFUFRE</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942593239</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SARON</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El Ferial, s/nº.</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39620</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SARON</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942563255</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CASTAÑEDA</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Bº Castañeda,s/nº.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39660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POMALUENDO</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942592273</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LA PENILLA</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Bº La  Penilla,s/nº.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39650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LA PENILLA DE CAYON</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942561146</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PENAGOS</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Bº. Helguera,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39627</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PENAGOS</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942517621</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LIERGANES</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Camino Real nº16</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39722</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LIERGANES</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942528556</w:t>
            </w:r>
          </w:p>
        </w:tc>
      </w:tr>
      <w:tr w:rsidR="003315BD" w:rsidRPr="00614F58" w:rsidTr="00301A41">
        <w:tc>
          <w:tcPr>
            <w:tcW w:w="2552" w:type="dxa"/>
            <w:tcBorders>
              <w:top w:val="nil"/>
              <w:left w:val="nil"/>
              <w:bottom w:val="nil"/>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 xml:space="preserve">C.S. CUDEYO </w:t>
            </w:r>
          </w:p>
        </w:tc>
        <w:tc>
          <w:tcPr>
            <w:tcW w:w="2268"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Avda. Calvo Sotelo, nº. 15</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39710</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SOLARES</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942520748</w:t>
            </w:r>
          </w:p>
        </w:tc>
      </w:tr>
      <w:tr w:rsidR="003315BD" w:rsidRPr="00614F58" w:rsidTr="00301A41">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MARINA DE CUDEYO(RUBAYO)</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Carretera Gnl-Rubayo,s/nº.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39719</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RUBAYO</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942506262</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ENTRAMBASAGUAS</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El Sedillo,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39715</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ENTRAMBASAGUAS</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942524200</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SUESA(RIB. AL MAR)</w:t>
            </w:r>
          </w:p>
        </w:tc>
        <w:tc>
          <w:tcPr>
            <w:tcW w:w="2268" w:type="dxa"/>
            <w:tcBorders>
              <w:top w:val="nil"/>
              <w:left w:val="nil"/>
              <w:bottom w:val="single" w:sz="4" w:space="0" w:color="000000"/>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Bª Rib. Al Mar,s/nº.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39150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SUESA</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942504192</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HOZ DE ANERO(RIB. AL MONTE)</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Plaza de la Iglesia, s/nº.</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39794</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HOZ DE ANERO</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942507088</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C.R. SOMO</w:t>
            </w:r>
          </w:p>
        </w:tc>
        <w:tc>
          <w:tcPr>
            <w:tcW w:w="2268"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8 a 13,30 h.</w:t>
            </w:r>
          </w:p>
        </w:tc>
        <w:tc>
          <w:tcPr>
            <w:tcW w:w="1881"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Las Quebrantas, 1</w:t>
            </w:r>
          </w:p>
        </w:tc>
        <w:tc>
          <w:tcPr>
            <w:tcW w:w="670" w:type="dxa"/>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39140</w:t>
            </w:r>
          </w:p>
        </w:tc>
        <w:tc>
          <w:tcPr>
            <w:tcW w:w="2170" w:type="dxa"/>
            <w:tcBorders>
              <w:top w:val="nil"/>
              <w:left w:val="nil"/>
              <w:bottom w:val="single" w:sz="4" w:space="0" w:color="000000"/>
              <w:right w:val="nil"/>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SOMO</w:t>
            </w:r>
          </w:p>
        </w:tc>
        <w:tc>
          <w:tcPr>
            <w:tcW w:w="925" w:type="dxa"/>
            <w:tcBorders>
              <w:top w:val="nil"/>
              <w:left w:val="single" w:sz="4" w:space="0" w:color="000000"/>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942510548</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BEZANA</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Avd Menendez Pelayo,11</w:t>
            </w:r>
          </w:p>
        </w:tc>
        <w:tc>
          <w:tcPr>
            <w:tcW w:w="670"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39100</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BEZANA</w:t>
            </w:r>
          </w:p>
        </w:tc>
        <w:tc>
          <w:tcPr>
            <w:tcW w:w="925" w:type="dxa"/>
            <w:tcBorders>
              <w:top w:val="nil"/>
              <w:left w:val="single" w:sz="4" w:space="0" w:color="000000"/>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942580493</w:t>
            </w:r>
          </w:p>
        </w:tc>
      </w:tr>
      <w:tr w:rsidR="003315BD" w:rsidRPr="00614F58" w:rsidTr="00301A41">
        <w:tc>
          <w:tcPr>
            <w:tcW w:w="2552" w:type="dxa"/>
            <w:tcBorders>
              <w:top w:val="nil"/>
              <w:left w:val="single" w:sz="4" w:space="0" w:color="000000"/>
              <w:bottom w:val="nil"/>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C.S. LA MONTAÑA</w:t>
            </w:r>
          </w:p>
        </w:tc>
        <w:tc>
          <w:tcPr>
            <w:tcW w:w="2268" w:type="dxa"/>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sz w:val="14"/>
                <w:szCs w:val="18"/>
                <w:lang w:eastAsia="es-ES"/>
              </w:rPr>
            </w:pPr>
            <w:r w:rsidRPr="00614F58">
              <w:rPr>
                <w:rFonts w:ascii="Arial" w:eastAsia="Times New Roman" w:hAnsi="Arial" w:cs="Arial"/>
                <w:sz w:val="14"/>
                <w:szCs w:val="18"/>
                <w:lang w:eastAsia="es-ES"/>
              </w:rPr>
              <w:t>8 a  13,30 h.</w:t>
            </w:r>
          </w:p>
        </w:tc>
        <w:tc>
          <w:tcPr>
            <w:tcW w:w="1881" w:type="dxa"/>
            <w:tcBorders>
              <w:top w:val="nil"/>
              <w:left w:val="nil"/>
              <w:bottom w:val="nil"/>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Rosalia de Castro s/n</w:t>
            </w:r>
          </w:p>
        </w:tc>
        <w:tc>
          <w:tcPr>
            <w:tcW w:w="670" w:type="dxa"/>
            <w:tcBorders>
              <w:top w:val="nil"/>
              <w:left w:val="nil"/>
              <w:bottom w:val="nil"/>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39011</w:t>
            </w:r>
          </w:p>
        </w:tc>
        <w:tc>
          <w:tcPr>
            <w:tcW w:w="2170" w:type="dxa"/>
            <w:tcBorders>
              <w:top w:val="nil"/>
              <w:left w:val="nil"/>
              <w:bottom w:val="single" w:sz="4" w:space="0" w:color="000000"/>
              <w:right w:val="nil"/>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single" w:sz="4" w:space="0" w:color="000000"/>
              <w:bottom w:val="nil"/>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942320165</w:t>
            </w:r>
          </w:p>
        </w:tc>
      </w:tr>
      <w:tr w:rsidR="003315BD" w:rsidRPr="00614F58" w:rsidTr="00301A41">
        <w:tc>
          <w:tcPr>
            <w:tcW w:w="2552" w:type="dxa"/>
            <w:tcBorders>
              <w:top w:val="single" w:sz="4" w:space="0" w:color="000000"/>
              <w:left w:val="single" w:sz="4" w:space="0" w:color="000000"/>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GERENCIA DE ATENCION PRIMARIA</w:t>
            </w:r>
          </w:p>
        </w:tc>
        <w:tc>
          <w:tcPr>
            <w:tcW w:w="2268" w:type="dxa"/>
            <w:tcBorders>
              <w:top w:val="nil"/>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8 a 14h</w:t>
            </w:r>
          </w:p>
        </w:tc>
        <w:tc>
          <w:tcPr>
            <w:tcW w:w="1881" w:type="dxa"/>
            <w:tcBorders>
              <w:top w:val="single" w:sz="4" w:space="0" w:color="000000"/>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ALMACEN GAP.Avd Cardenal Herrera Oria,s/nº</w:t>
            </w:r>
          </w:p>
        </w:tc>
        <w:tc>
          <w:tcPr>
            <w:tcW w:w="670" w:type="dxa"/>
            <w:tcBorders>
              <w:top w:val="single" w:sz="4" w:space="0" w:color="000000"/>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39006</w:t>
            </w:r>
          </w:p>
        </w:tc>
        <w:tc>
          <w:tcPr>
            <w:tcW w:w="2170" w:type="dxa"/>
            <w:tcBorders>
              <w:top w:val="nil"/>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single" w:sz="4" w:space="0" w:color="000000"/>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942202793</w:t>
            </w:r>
          </w:p>
        </w:tc>
      </w:tr>
      <w:tr w:rsidR="003315BD" w:rsidRPr="00614F58" w:rsidTr="00301A41">
        <w:tc>
          <w:tcPr>
            <w:tcW w:w="2552" w:type="dxa"/>
            <w:tcBorders>
              <w:top w:val="nil"/>
              <w:left w:val="single" w:sz="4" w:space="0" w:color="000000"/>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HOSPITAL SANTA CLOTILDE</w:t>
            </w:r>
          </w:p>
        </w:tc>
        <w:tc>
          <w:tcPr>
            <w:tcW w:w="2268" w:type="dxa"/>
            <w:tcBorders>
              <w:top w:val="nil"/>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8 a 14h</w:t>
            </w:r>
          </w:p>
        </w:tc>
        <w:tc>
          <w:tcPr>
            <w:tcW w:w="1881" w:type="dxa"/>
            <w:tcBorders>
              <w:top w:val="nil"/>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Gral. Dávila, Nº 35</w:t>
            </w:r>
          </w:p>
        </w:tc>
        <w:tc>
          <w:tcPr>
            <w:tcW w:w="670" w:type="dxa"/>
            <w:tcBorders>
              <w:top w:val="nil"/>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39006</w:t>
            </w:r>
          </w:p>
        </w:tc>
        <w:tc>
          <w:tcPr>
            <w:tcW w:w="2170" w:type="dxa"/>
            <w:tcBorders>
              <w:top w:val="nil"/>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SANTANDER</w:t>
            </w:r>
          </w:p>
        </w:tc>
        <w:tc>
          <w:tcPr>
            <w:tcW w:w="925" w:type="dxa"/>
            <w:tcBorders>
              <w:top w:val="nil"/>
              <w:left w:val="nil"/>
              <w:bottom w:val="single" w:sz="4" w:space="0" w:color="000000"/>
              <w:right w:val="single" w:sz="4" w:space="0" w:color="000000"/>
            </w:tcBorders>
            <w:shd w:val="clear" w:color="CCFFFF" w:fill="CC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8"/>
                <w:lang w:eastAsia="es-ES"/>
              </w:rPr>
            </w:pPr>
            <w:r w:rsidRPr="00614F58">
              <w:rPr>
                <w:rFonts w:ascii="Arial" w:eastAsia="Times New Roman" w:hAnsi="Arial" w:cs="Arial"/>
                <w:color w:val="000000"/>
                <w:sz w:val="14"/>
                <w:szCs w:val="18"/>
                <w:lang w:eastAsia="es-ES"/>
              </w:rPr>
              <w:t> </w:t>
            </w:r>
          </w:p>
        </w:tc>
      </w:tr>
    </w:tbl>
    <w:p w:rsidR="003315BD" w:rsidRPr="00672862" w:rsidRDefault="003315BD" w:rsidP="003315BD">
      <w:pPr>
        <w:pStyle w:val="WW-Default"/>
        <w:jc w:val="both"/>
        <w:rPr>
          <w:rFonts w:ascii="Arial" w:hAnsi="Arial" w:cs="Arial"/>
          <w:b/>
          <w:i/>
        </w:rPr>
      </w:pPr>
    </w:p>
    <w:p w:rsidR="003315BD" w:rsidRDefault="003315BD" w:rsidP="003315BD">
      <w:pPr>
        <w:autoSpaceDE w:val="0"/>
        <w:spacing w:after="0" w:line="240" w:lineRule="auto"/>
        <w:rPr>
          <w:rFonts w:ascii="Century Gothic" w:eastAsia="CenturyGothic" w:hAnsi="Century Gothic" w:cs="CenturyGothic"/>
          <w:b/>
          <w:bCs/>
        </w:rPr>
      </w:pPr>
    </w:p>
    <w:tbl>
      <w:tblPr>
        <w:tblW w:w="0" w:type="auto"/>
        <w:tblCellMar>
          <w:left w:w="70" w:type="dxa"/>
          <w:right w:w="70" w:type="dxa"/>
        </w:tblCellMar>
        <w:tblLook w:val="04A0" w:firstRow="1" w:lastRow="0" w:firstColumn="1" w:lastColumn="0" w:noHBand="0" w:noVBand="1"/>
      </w:tblPr>
      <w:tblGrid>
        <w:gridCol w:w="2467"/>
        <w:gridCol w:w="2328"/>
        <w:gridCol w:w="1779"/>
        <w:gridCol w:w="685"/>
        <w:gridCol w:w="1712"/>
        <w:gridCol w:w="903"/>
      </w:tblGrid>
      <w:tr w:rsidR="003315BD" w:rsidRPr="00614F58" w:rsidTr="00301A41">
        <w:tc>
          <w:tcPr>
            <w:tcW w:w="0" w:type="auto"/>
            <w:gridSpan w:val="6"/>
            <w:tcBorders>
              <w:top w:val="single" w:sz="4" w:space="0" w:color="auto"/>
              <w:left w:val="single" w:sz="4" w:space="0" w:color="auto"/>
              <w:bottom w:val="nil"/>
              <w:right w:val="single" w:sz="4" w:space="0" w:color="auto"/>
            </w:tcBorders>
            <w:shd w:val="clear" w:color="FFFFCC" w:fill="FFFF99"/>
            <w:noWrap/>
            <w:vAlign w:val="center"/>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614F58">
              <w:rPr>
                <w:rFonts w:ascii="Arial" w:eastAsia="Times New Roman" w:hAnsi="Arial" w:cs="Arial"/>
                <w:b/>
                <w:bCs/>
                <w:color w:val="000000"/>
                <w:sz w:val="14"/>
                <w:szCs w:val="16"/>
                <w:lang w:eastAsia="es-ES"/>
              </w:rPr>
              <w:t>Area Laredo</w:t>
            </w:r>
          </w:p>
        </w:tc>
      </w:tr>
      <w:tr w:rsidR="003315BD" w:rsidRPr="00614F58" w:rsidTr="00301A41">
        <w:tc>
          <w:tcPr>
            <w:tcW w:w="0" w:type="auto"/>
            <w:tcBorders>
              <w:top w:val="single" w:sz="4" w:space="0" w:color="000000"/>
              <w:left w:val="single" w:sz="4" w:space="0" w:color="auto"/>
              <w:bottom w:val="single" w:sz="4" w:space="0" w:color="000000"/>
              <w:right w:val="single" w:sz="4" w:space="0" w:color="000000"/>
            </w:tcBorders>
            <w:shd w:val="clear" w:color="9999FF" w:fill="CC99FF"/>
            <w:noWrap/>
            <w:vAlign w:val="bottom"/>
            <w:hideMark/>
          </w:tcPr>
          <w:p w:rsidR="003315BD" w:rsidRPr="00614F58" w:rsidRDefault="003315BD" w:rsidP="00301A41">
            <w:pPr>
              <w:suppressAutoHyphens w:val="0"/>
              <w:spacing w:after="0" w:line="240" w:lineRule="auto"/>
              <w:rPr>
                <w:rFonts w:ascii="Arial" w:eastAsia="Times New Roman" w:hAnsi="Arial" w:cs="Arial"/>
                <w:b/>
                <w:bCs/>
                <w:color w:val="000000"/>
                <w:sz w:val="14"/>
                <w:szCs w:val="16"/>
                <w:lang w:eastAsia="es-ES"/>
              </w:rPr>
            </w:pPr>
            <w:r w:rsidRPr="00614F58">
              <w:rPr>
                <w:rFonts w:ascii="Arial" w:eastAsia="Times New Roman" w:hAnsi="Arial" w:cs="Arial"/>
                <w:b/>
                <w:bCs/>
                <w:color w:val="000000"/>
                <w:sz w:val="14"/>
                <w:szCs w:val="16"/>
                <w:lang w:eastAsia="es-ES"/>
              </w:rPr>
              <w:t xml:space="preserve">         DESTINATARIO</w:t>
            </w:r>
          </w:p>
        </w:tc>
        <w:tc>
          <w:tcPr>
            <w:tcW w:w="0" w:type="auto"/>
            <w:tcBorders>
              <w:top w:val="single" w:sz="4" w:space="0" w:color="000000"/>
              <w:left w:val="nil"/>
              <w:bottom w:val="single" w:sz="4" w:space="0" w:color="000000"/>
              <w:right w:val="single" w:sz="4" w:space="0" w:color="000000"/>
            </w:tcBorders>
            <w:shd w:val="clear" w:color="9999FF" w:fill="CC99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614F58">
              <w:rPr>
                <w:rFonts w:ascii="Arial" w:eastAsia="Times New Roman" w:hAnsi="Arial" w:cs="Arial"/>
                <w:b/>
                <w:bCs/>
                <w:color w:val="000000"/>
                <w:sz w:val="14"/>
                <w:szCs w:val="16"/>
                <w:lang w:eastAsia="es-ES"/>
              </w:rPr>
              <w:t>HORARIO DE ENTREGA</w:t>
            </w:r>
          </w:p>
        </w:tc>
        <w:tc>
          <w:tcPr>
            <w:tcW w:w="0" w:type="auto"/>
            <w:tcBorders>
              <w:top w:val="single" w:sz="4" w:space="0" w:color="000000"/>
              <w:left w:val="nil"/>
              <w:bottom w:val="single" w:sz="4" w:space="0" w:color="000000"/>
              <w:right w:val="single" w:sz="4" w:space="0" w:color="000000"/>
            </w:tcBorders>
            <w:shd w:val="clear" w:color="9999FF" w:fill="CC99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614F58">
              <w:rPr>
                <w:rFonts w:ascii="Arial" w:eastAsia="Times New Roman" w:hAnsi="Arial" w:cs="Arial"/>
                <w:b/>
                <w:bCs/>
                <w:color w:val="000000"/>
                <w:sz w:val="14"/>
                <w:szCs w:val="16"/>
                <w:lang w:eastAsia="es-ES"/>
              </w:rPr>
              <w:t>DIRECCION</w:t>
            </w:r>
          </w:p>
        </w:tc>
        <w:tc>
          <w:tcPr>
            <w:tcW w:w="0" w:type="auto"/>
            <w:tcBorders>
              <w:top w:val="single" w:sz="4" w:space="0" w:color="000000"/>
              <w:left w:val="nil"/>
              <w:bottom w:val="single" w:sz="4" w:space="0" w:color="000000"/>
              <w:right w:val="single" w:sz="4" w:space="0" w:color="000000"/>
            </w:tcBorders>
            <w:shd w:val="clear" w:color="9999FF" w:fill="CC99FF"/>
            <w:noWrap/>
            <w:vAlign w:val="bottom"/>
            <w:hideMark/>
          </w:tcPr>
          <w:p w:rsidR="003315BD" w:rsidRPr="00614F58" w:rsidRDefault="003315BD" w:rsidP="00301A41">
            <w:pPr>
              <w:suppressAutoHyphens w:val="0"/>
              <w:spacing w:after="0" w:line="240" w:lineRule="auto"/>
              <w:rPr>
                <w:rFonts w:ascii="Arial" w:eastAsia="Times New Roman" w:hAnsi="Arial" w:cs="Arial"/>
                <w:b/>
                <w:bCs/>
                <w:color w:val="000000"/>
                <w:sz w:val="14"/>
                <w:szCs w:val="16"/>
                <w:lang w:eastAsia="es-ES"/>
              </w:rPr>
            </w:pPr>
            <w:r w:rsidRPr="00614F58">
              <w:rPr>
                <w:rFonts w:ascii="Arial" w:eastAsia="Times New Roman" w:hAnsi="Arial" w:cs="Arial"/>
                <w:b/>
                <w:bCs/>
                <w:color w:val="000000"/>
                <w:sz w:val="14"/>
                <w:szCs w:val="16"/>
                <w:lang w:eastAsia="es-ES"/>
              </w:rPr>
              <w:t xml:space="preserve">        C.P</w:t>
            </w:r>
          </w:p>
        </w:tc>
        <w:tc>
          <w:tcPr>
            <w:tcW w:w="0" w:type="auto"/>
            <w:tcBorders>
              <w:top w:val="single" w:sz="4" w:space="0" w:color="000000"/>
              <w:left w:val="nil"/>
              <w:bottom w:val="single" w:sz="4" w:space="0" w:color="000000"/>
              <w:right w:val="single" w:sz="4" w:space="0" w:color="000000"/>
            </w:tcBorders>
            <w:shd w:val="clear" w:color="9999FF" w:fill="CC99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614F58">
              <w:rPr>
                <w:rFonts w:ascii="Arial" w:eastAsia="Times New Roman" w:hAnsi="Arial" w:cs="Arial"/>
                <w:b/>
                <w:bCs/>
                <w:color w:val="000000"/>
                <w:sz w:val="14"/>
                <w:szCs w:val="16"/>
                <w:lang w:eastAsia="es-ES"/>
              </w:rPr>
              <w:t>Población</w:t>
            </w:r>
          </w:p>
        </w:tc>
        <w:tc>
          <w:tcPr>
            <w:tcW w:w="0" w:type="auto"/>
            <w:tcBorders>
              <w:top w:val="single" w:sz="4" w:space="0" w:color="000000"/>
              <w:left w:val="nil"/>
              <w:bottom w:val="single" w:sz="4" w:space="0" w:color="000000"/>
              <w:right w:val="single" w:sz="4" w:space="0" w:color="auto"/>
            </w:tcBorders>
            <w:shd w:val="clear" w:color="9999FF" w:fill="CC99FF"/>
            <w:noWrap/>
            <w:vAlign w:val="bottom"/>
            <w:hideMark/>
          </w:tcPr>
          <w:p w:rsidR="003315BD" w:rsidRPr="00614F58"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614F58">
              <w:rPr>
                <w:rFonts w:ascii="Arial" w:eastAsia="Times New Roman" w:hAnsi="Arial" w:cs="Arial"/>
                <w:b/>
                <w:bCs/>
                <w:color w:val="000000"/>
                <w:sz w:val="14"/>
                <w:szCs w:val="16"/>
                <w:lang w:eastAsia="es-ES"/>
              </w:rPr>
              <w:t>TELEFONO</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C.S LA BARRERA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 a 13,30 h</w:t>
            </w:r>
            <w:r w:rsidRPr="00614F58">
              <w:rPr>
                <w:rFonts w:ascii="Arial" w:eastAsia="Times New Roman" w:hAnsi="Arial" w:cs="Arial"/>
                <w:b/>
                <w:bCs/>
                <w:color w:val="000000"/>
                <w:sz w:val="14"/>
                <w:szCs w:val="16"/>
                <w:lang w:eastAsia="es-ES"/>
              </w:rPr>
              <w:t>.</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 República Argentina,  3</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39700</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CASTRO URDIALES</w:t>
            </w:r>
          </w:p>
        </w:tc>
        <w:tc>
          <w:tcPr>
            <w:tcW w:w="0" w:type="auto"/>
            <w:tcBorders>
              <w:top w:val="nil"/>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942865431</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 R. GURIEZO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Bº. El Puente,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39788</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GURIEZO</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942877025</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VILLAVERDE</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14h.L. </w:t>
            </w:r>
            <w:r w:rsidRPr="00614F58">
              <w:rPr>
                <w:rFonts w:ascii="Arial" w:eastAsia="Times New Roman" w:hAnsi="Arial" w:cs="Arial"/>
                <w:b/>
                <w:bCs/>
                <w:color w:val="000000"/>
                <w:sz w:val="14"/>
                <w:szCs w:val="16"/>
                <w:lang w:eastAsia="es-ES"/>
              </w:rPr>
              <w:t>M-X- J</w:t>
            </w:r>
            <w:r w:rsidRPr="00614F58">
              <w:rPr>
                <w:rFonts w:ascii="Arial" w:eastAsia="Times New Roman" w:hAnsi="Arial" w:cs="Arial"/>
                <w:color w:val="000000"/>
                <w:sz w:val="14"/>
                <w:szCs w:val="16"/>
                <w:lang w:eastAsia="es-ES"/>
              </w:rPr>
              <w:t>/ 10 a 14h</w:t>
            </w:r>
            <w:r w:rsidRPr="00614F58">
              <w:rPr>
                <w:rFonts w:ascii="Arial" w:eastAsia="Times New Roman" w:hAnsi="Arial" w:cs="Arial"/>
                <w:b/>
                <w:bCs/>
                <w:color w:val="000000"/>
                <w:sz w:val="14"/>
                <w:szCs w:val="16"/>
                <w:lang w:eastAsia="es-ES"/>
              </w:rPr>
              <w:t xml:space="preserve"> 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Bº. La Matanza, nº. 1</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39880</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VALLE DE VILLAVERDE</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946809194</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C. S. COTOLINO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13,30h.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San Andrés,s/n</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39700</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CASTRO URDIALES</w:t>
            </w:r>
          </w:p>
        </w:tc>
        <w:tc>
          <w:tcPr>
            <w:tcW w:w="0" w:type="auto"/>
            <w:tcBorders>
              <w:top w:val="nil"/>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942862067</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 S. LAREDO</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San Francisco, 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39770</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LAREDO</w:t>
            </w:r>
          </w:p>
        </w:tc>
        <w:tc>
          <w:tcPr>
            <w:tcW w:w="0" w:type="auto"/>
            <w:tcBorders>
              <w:top w:val="nil"/>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942607558</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LIENDO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8,15 a 14.</w:t>
            </w:r>
            <w:r w:rsidRPr="00614F58">
              <w:rPr>
                <w:rFonts w:ascii="Arial" w:eastAsia="Times New Roman" w:hAnsi="Arial" w:cs="Arial"/>
                <w:b/>
                <w:bCs/>
                <w:color w:val="000000"/>
                <w:sz w:val="14"/>
                <w:szCs w:val="16"/>
                <w:lang w:eastAsia="es-ES"/>
              </w:rPr>
              <w:t xml:space="preserve">L-M-X – J / </w:t>
            </w:r>
            <w:r w:rsidRPr="00614F58">
              <w:rPr>
                <w:rFonts w:ascii="Arial" w:eastAsia="Times New Roman" w:hAnsi="Arial" w:cs="Arial"/>
                <w:color w:val="000000"/>
                <w:sz w:val="14"/>
                <w:szCs w:val="16"/>
                <w:lang w:eastAsia="es-ES"/>
              </w:rPr>
              <w:t>10 a 14,</w:t>
            </w:r>
            <w:r w:rsidRPr="00614F58">
              <w:rPr>
                <w:rFonts w:ascii="Arial" w:eastAsia="Times New Roman" w:hAnsi="Arial" w:cs="Arial"/>
                <w:b/>
                <w:bCs/>
                <w:color w:val="000000"/>
                <w:sz w:val="14"/>
                <w:szCs w:val="16"/>
                <w:lang w:eastAsia="es-ES"/>
              </w:rPr>
              <w:t>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Bº. Hazas,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39776</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LIENDO</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942643018</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C.S GAMA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14,30h.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Barrio Gama, nº. 13</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39790</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GAMA</w:t>
            </w:r>
          </w:p>
        </w:tc>
        <w:tc>
          <w:tcPr>
            <w:tcW w:w="0" w:type="auto"/>
            <w:tcBorders>
              <w:top w:val="nil"/>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942642197</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BERANGA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r w:rsidRPr="00614F58">
              <w:rPr>
                <w:rFonts w:ascii="Arial" w:eastAsia="Times New Roman" w:hAnsi="Arial" w:cs="Arial"/>
                <w:b/>
                <w:bCs/>
                <w:color w:val="000000"/>
                <w:sz w:val="14"/>
                <w:szCs w:val="16"/>
                <w:lang w:eastAsia="es-ES"/>
              </w:rPr>
              <w:t>L- X- 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Beranga,s/nº.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39730</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BERANGA</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942635200</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ESCALANTE</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r w:rsidRPr="00614F58">
              <w:rPr>
                <w:rFonts w:ascii="Arial" w:eastAsia="Times New Roman" w:hAnsi="Arial" w:cs="Arial"/>
                <w:b/>
                <w:bCs/>
                <w:color w:val="000000"/>
                <w:sz w:val="14"/>
                <w:szCs w:val="16"/>
                <w:lang w:eastAsia="es-ES"/>
              </w:rPr>
              <w:t>L- X- J.</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Avda. de Cantabria, nº. 17</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39795</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ESCALANTE</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942677648</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CICERO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 a 13,30 h.</w:t>
            </w:r>
            <w:r w:rsidRPr="00614F58">
              <w:rPr>
                <w:rFonts w:ascii="Arial" w:eastAsia="Times New Roman" w:hAnsi="Arial" w:cs="Arial"/>
                <w:b/>
                <w:bCs/>
                <w:color w:val="000000"/>
                <w:sz w:val="14"/>
                <w:szCs w:val="16"/>
                <w:lang w:eastAsia="es-ES"/>
              </w:rPr>
              <w:t>L- J</w:t>
            </w:r>
            <w:r w:rsidRPr="00614F58">
              <w:rPr>
                <w:rFonts w:ascii="Arial" w:eastAsia="Times New Roman" w:hAnsi="Arial" w:cs="Arial"/>
                <w:color w:val="000000"/>
                <w:sz w:val="14"/>
                <w:szCs w:val="16"/>
                <w:lang w:eastAsia="es-ES"/>
              </w:rPr>
              <w:t xml:space="preserve"> / 8 a 11h, </w:t>
            </w:r>
            <w:r w:rsidRPr="00614F58">
              <w:rPr>
                <w:rFonts w:ascii="Arial" w:eastAsia="Times New Roman" w:hAnsi="Arial" w:cs="Arial"/>
                <w:b/>
                <w:bCs/>
                <w:color w:val="000000"/>
                <w:sz w:val="14"/>
                <w:szCs w:val="16"/>
                <w:lang w:eastAsia="es-ES"/>
              </w:rPr>
              <w:t>X.</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Cicero,s/nº.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39796</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CICERO</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942616561</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C.R.TRETO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 a 13,30h.</w:t>
            </w:r>
            <w:r w:rsidRPr="00614F58">
              <w:rPr>
                <w:rFonts w:ascii="Arial" w:eastAsia="Times New Roman" w:hAnsi="Arial" w:cs="Arial"/>
                <w:b/>
                <w:bCs/>
                <w:color w:val="000000"/>
                <w:sz w:val="14"/>
                <w:szCs w:val="16"/>
                <w:lang w:eastAsia="es-ES"/>
              </w:rPr>
              <w:t xml:space="preserve"> M-V</w:t>
            </w:r>
            <w:r w:rsidRPr="00614F58">
              <w:rPr>
                <w:rFonts w:ascii="Arial" w:eastAsia="Times New Roman" w:hAnsi="Arial" w:cs="Arial"/>
                <w:color w:val="000000"/>
                <w:sz w:val="14"/>
                <w:szCs w:val="16"/>
                <w:lang w:eastAsia="es-ES"/>
              </w:rPr>
              <w:t xml:space="preserve"> / 12 a 14h.</w:t>
            </w:r>
            <w:r w:rsidRPr="00614F58">
              <w:rPr>
                <w:rFonts w:ascii="Arial" w:eastAsia="Times New Roman" w:hAnsi="Arial" w:cs="Arial"/>
                <w:b/>
                <w:bCs/>
                <w:color w:val="000000"/>
                <w:sz w:val="14"/>
                <w:szCs w:val="16"/>
                <w:lang w:eastAsia="es-ES"/>
              </w:rPr>
              <w:t>X</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Treto,s/nº.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39760</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TRETO</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942650959</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SOLORZANO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13,30h.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Bº. El Puente,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39738</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SOLORZANO</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942676319</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ARGOÑOS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r w:rsidRPr="00614F58">
              <w:rPr>
                <w:rFonts w:ascii="Arial" w:eastAsia="Times New Roman" w:hAnsi="Arial" w:cs="Arial"/>
                <w:b/>
                <w:bCs/>
                <w:color w:val="000000"/>
                <w:sz w:val="14"/>
                <w:szCs w:val="16"/>
                <w:lang w:eastAsia="es-ES"/>
              </w:rPr>
              <w:t>M- X- 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Bº Argoños,s/nº.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39197</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ARGOÑOS</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942626177</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C.S MERUELO</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San Miguel, 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39192</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MERUELO</w:t>
            </w:r>
          </w:p>
        </w:tc>
        <w:tc>
          <w:tcPr>
            <w:tcW w:w="0" w:type="auto"/>
            <w:tcBorders>
              <w:top w:val="nil"/>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942637039</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AJO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Avda. Faro,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39170</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AJO</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942621269</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NOJA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 a 13,30h.</w:t>
            </w:r>
            <w:r w:rsidRPr="00614F58">
              <w:rPr>
                <w:rFonts w:ascii="Arial" w:eastAsia="Times New Roman" w:hAnsi="Arial" w:cs="Arial"/>
                <w:b/>
                <w:bCs/>
                <w:color w:val="000000"/>
                <w:sz w:val="14"/>
                <w:szCs w:val="16"/>
                <w:lang w:eastAsia="es-ES"/>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Mies del Valle ,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39180</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NOJA</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942631198</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ARNUERO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r w:rsidRPr="00614F58">
              <w:rPr>
                <w:rFonts w:ascii="Arial" w:eastAsia="Times New Roman" w:hAnsi="Arial" w:cs="Arial"/>
                <w:b/>
                <w:bCs/>
                <w:color w:val="000000"/>
                <w:sz w:val="14"/>
                <w:szCs w:val="16"/>
                <w:lang w:eastAsia="es-ES"/>
              </w:rPr>
              <w:t>M- J.</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Bº. Palacio,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39194</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ARNUERO</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ISLA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 a 13,30h.</w:t>
            </w:r>
            <w:r w:rsidRPr="00614F58">
              <w:rPr>
                <w:rFonts w:ascii="Arial" w:eastAsia="Times New Roman" w:hAnsi="Arial" w:cs="Arial"/>
                <w:b/>
                <w:bCs/>
                <w:color w:val="000000"/>
                <w:sz w:val="14"/>
                <w:szCs w:val="16"/>
                <w:lang w:eastAsia="es-ES"/>
              </w:rPr>
              <w:t>M- J</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Avda. Juan Hormaechea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39195</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ISLA</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w:t>
            </w:r>
          </w:p>
        </w:tc>
      </w:tr>
      <w:tr w:rsidR="003315BD" w:rsidRPr="00614F58" w:rsidTr="00301A41">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CASTILLO</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12 A 14 h. </w:t>
            </w:r>
            <w:r w:rsidRPr="00614F58">
              <w:rPr>
                <w:rFonts w:ascii="Arial" w:eastAsia="Times New Roman" w:hAnsi="Arial" w:cs="Arial"/>
                <w:b/>
                <w:bCs/>
                <w:color w:val="000000"/>
                <w:sz w:val="14"/>
                <w:szCs w:val="16"/>
                <w:lang w:eastAsia="es-ES"/>
              </w:rPr>
              <w:t>L- M- X- J</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Bº Zoña s/n                                                   </w:t>
            </w:r>
          </w:p>
        </w:tc>
        <w:tc>
          <w:tcPr>
            <w:tcW w:w="0" w:type="auto"/>
            <w:tcBorders>
              <w:top w:val="nil"/>
              <w:left w:val="nil"/>
              <w:bottom w:val="nil"/>
              <w:right w:val="nil"/>
            </w:tcBorders>
            <w:shd w:val="clear" w:color="auto" w:fill="auto"/>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39195</w:t>
            </w:r>
          </w:p>
        </w:tc>
        <w:tc>
          <w:tcPr>
            <w:tcW w:w="0" w:type="auto"/>
            <w:tcBorders>
              <w:top w:val="nil"/>
              <w:left w:val="nil"/>
              <w:bottom w:val="nil"/>
              <w:right w:val="single" w:sz="8" w:space="0" w:color="000000"/>
            </w:tcBorders>
            <w:shd w:val="clear" w:color="auto" w:fill="auto"/>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CASTILLO</w:t>
            </w:r>
          </w:p>
        </w:tc>
        <w:tc>
          <w:tcPr>
            <w:tcW w:w="0" w:type="auto"/>
            <w:tcBorders>
              <w:top w:val="nil"/>
              <w:left w:val="nil"/>
              <w:bottom w:val="nil"/>
              <w:right w:val="single" w:sz="4" w:space="0" w:color="auto"/>
            </w:tcBorders>
            <w:shd w:val="clear" w:color="auto" w:fill="auto"/>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942637977</w:t>
            </w:r>
          </w:p>
        </w:tc>
      </w:tr>
      <w:tr w:rsidR="003315BD" w:rsidRPr="00614F58" w:rsidTr="00301A41">
        <w:tc>
          <w:tcPr>
            <w:tcW w:w="0" w:type="auto"/>
            <w:tcBorders>
              <w:top w:val="single" w:sz="4" w:space="0" w:color="000000"/>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C.S RAMALES</w:t>
            </w:r>
          </w:p>
        </w:tc>
        <w:tc>
          <w:tcPr>
            <w:tcW w:w="0" w:type="auto"/>
            <w:tcBorders>
              <w:top w:val="single" w:sz="4" w:space="0" w:color="000000"/>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 8 a 13,30 h. </w:t>
            </w:r>
          </w:p>
        </w:tc>
        <w:tc>
          <w:tcPr>
            <w:tcW w:w="0" w:type="auto"/>
            <w:tcBorders>
              <w:top w:val="single" w:sz="4" w:space="0" w:color="000000"/>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Salvador Pérez, s/nº.</w:t>
            </w:r>
          </w:p>
        </w:tc>
        <w:tc>
          <w:tcPr>
            <w:tcW w:w="0" w:type="auto"/>
            <w:tcBorders>
              <w:top w:val="single" w:sz="4" w:space="0" w:color="000000"/>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39800</w:t>
            </w:r>
          </w:p>
        </w:tc>
        <w:tc>
          <w:tcPr>
            <w:tcW w:w="0" w:type="auto"/>
            <w:tcBorders>
              <w:top w:val="single" w:sz="4" w:space="0" w:color="000000"/>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RAMALES</w:t>
            </w:r>
          </w:p>
        </w:tc>
        <w:tc>
          <w:tcPr>
            <w:tcW w:w="0" w:type="auto"/>
            <w:tcBorders>
              <w:top w:val="single" w:sz="4" w:space="0" w:color="000000"/>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942678487</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RUESGA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8,30 a 11,15h</w:t>
            </w:r>
            <w:r w:rsidRPr="00614F58">
              <w:rPr>
                <w:rFonts w:ascii="Arial" w:eastAsia="Times New Roman" w:hAnsi="Arial" w:cs="Arial"/>
                <w:b/>
                <w:bCs/>
                <w:color w:val="000000"/>
                <w:sz w:val="14"/>
                <w:szCs w:val="16"/>
                <w:lang w:eastAsia="es-ES"/>
              </w:rPr>
              <w:t>.L- V</w:t>
            </w:r>
            <w:r w:rsidRPr="00614F58">
              <w:rPr>
                <w:rFonts w:ascii="Arial" w:eastAsia="Times New Roman" w:hAnsi="Arial" w:cs="Arial"/>
                <w:color w:val="000000"/>
                <w:sz w:val="14"/>
                <w:szCs w:val="16"/>
                <w:lang w:eastAsia="es-ES"/>
              </w:rPr>
              <w:t xml:space="preserve"> / 12,30 a 14h</w:t>
            </w:r>
            <w:r w:rsidRPr="00614F58">
              <w:rPr>
                <w:rFonts w:ascii="Arial" w:eastAsia="Times New Roman" w:hAnsi="Arial" w:cs="Arial"/>
                <w:b/>
                <w:bCs/>
                <w:color w:val="000000"/>
                <w:sz w:val="14"/>
                <w:szCs w:val="16"/>
                <w:lang w:eastAsia="es-ES"/>
              </w:rPr>
              <w:t>,X.</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Matienzo,s/nº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39860</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RUESGA</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942641140</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CASATABLAS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10,30 a 13,30 h.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La Gandara,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39806</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SOBA</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942639077</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lastRenderedPageBreak/>
              <w:t>C.R. ARREDONDO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9 a 13,30h. </w:t>
            </w:r>
            <w:r w:rsidRPr="00614F58">
              <w:rPr>
                <w:rFonts w:ascii="Arial" w:eastAsia="Times New Roman" w:hAnsi="Arial" w:cs="Arial"/>
                <w:b/>
                <w:bCs/>
                <w:color w:val="000000"/>
                <w:sz w:val="14"/>
                <w:szCs w:val="16"/>
                <w:lang w:eastAsia="es-ES"/>
              </w:rPr>
              <w:t>L- X-V.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Arredondo,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39813</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ARREDONDO</w:t>
            </w:r>
          </w:p>
        </w:tc>
        <w:tc>
          <w:tcPr>
            <w:tcW w:w="0" w:type="auto"/>
            <w:tcBorders>
              <w:top w:val="nil"/>
              <w:left w:val="nil"/>
              <w:bottom w:val="single" w:sz="4" w:space="0" w:color="000000"/>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942678097</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C.S AMPUERO</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 a 13,30h.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Federico Somarriba,s/n.</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39840</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AMPUERO</w:t>
            </w:r>
          </w:p>
        </w:tc>
        <w:tc>
          <w:tcPr>
            <w:tcW w:w="0" w:type="auto"/>
            <w:tcBorders>
              <w:top w:val="nil"/>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942634072</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C.S SANTOÑA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Eguilior, nº 2</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39740</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SANTOÑA</w:t>
            </w:r>
          </w:p>
        </w:tc>
        <w:tc>
          <w:tcPr>
            <w:tcW w:w="0" w:type="auto"/>
            <w:tcBorders>
              <w:top w:val="nil"/>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942661725</w:t>
            </w:r>
          </w:p>
        </w:tc>
      </w:tr>
      <w:tr w:rsidR="003315BD" w:rsidRPr="00614F58" w:rsidTr="00301A41">
        <w:tc>
          <w:tcPr>
            <w:tcW w:w="0" w:type="auto"/>
            <w:tcBorders>
              <w:top w:val="nil"/>
              <w:left w:val="single" w:sz="4" w:space="0" w:color="auto"/>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C.S COLINDRES - DR.LOPEZ ALBO</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8 a 13,30 h.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Pintor Rosales, 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39750</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COLINDRES</w:t>
            </w:r>
          </w:p>
        </w:tc>
        <w:tc>
          <w:tcPr>
            <w:tcW w:w="0" w:type="auto"/>
            <w:tcBorders>
              <w:top w:val="nil"/>
              <w:left w:val="nil"/>
              <w:bottom w:val="single" w:sz="4" w:space="0" w:color="000000"/>
              <w:right w:val="single" w:sz="4" w:space="0" w:color="auto"/>
            </w:tcBorders>
            <w:shd w:val="clear" w:color="CCCCFF" w:fill="99CCFF"/>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942652848</w:t>
            </w:r>
          </w:p>
        </w:tc>
      </w:tr>
      <w:tr w:rsidR="003315BD" w:rsidRPr="00614F58" w:rsidTr="00301A41">
        <w:tc>
          <w:tcPr>
            <w:tcW w:w="0" w:type="auto"/>
            <w:tcBorders>
              <w:top w:val="nil"/>
              <w:left w:val="single" w:sz="4" w:space="0" w:color="auto"/>
              <w:bottom w:val="single" w:sz="4" w:space="0" w:color="auto"/>
              <w:right w:val="single" w:sz="4" w:space="0" w:color="000000"/>
            </w:tcBorders>
            <w:shd w:val="clear" w:color="FFFFCC" w:fill="FFFFFF"/>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C.R. VOTO</w:t>
            </w:r>
          </w:p>
        </w:tc>
        <w:tc>
          <w:tcPr>
            <w:tcW w:w="0" w:type="auto"/>
            <w:tcBorders>
              <w:top w:val="nil"/>
              <w:left w:val="nil"/>
              <w:bottom w:val="single" w:sz="4" w:space="0" w:color="auto"/>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 xml:space="preserve"> 8 a 13,30 h. </w:t>
            </w:r>
          </w:p>
        </w:tc>
        <w:tc>
          <w:tcPr>
            <w:tcW w:w="0" w:type="auto"/>
            <w:tcBorders>
              <w:top w:val="nil"/>
              <w:left w:val="nil"/>
              <w:bottom w:val="single" w:sz="4" w:space="0" w:color="auto"/>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Plaza de la Salud, s/nº.</w:t>
            </w:r>
          </w:p>
        </w:tc>
        <w:tc>
          <w:tcPr>
            <w:tcW w:w="0" w:type="auto"/>
            <w:tcBorders>
              <w:top w:val="nil"/>
              <w:left w:val="nil"/>
              <w:bottom w:val="single" w:sz="4" w:space="0" w:color="auto"/>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39764</w:t>
            </w:r>
          </w:p>
        </w:tc>
        <w:tc>
          <w:tcPr>
            <w:tcW w:w="0" w:type="auto"/>
            <w:tcBorders>
              <w:top w:val="nil"/>
              <w:left w:val="nil"/>
              <w:bottom w:val="single" w:sz="4" w:space="0" w:color="auto"/>
              <w:right w:val="single" w:sz="4" w:space="0" w:color="000000"/>
            </w:tcBorders>
            <w:shd w:val="clear" w:color="auto" w:fill="auto"/>
            <w:noWrap/>
            <w:vAlign w:val="bottom"/>
            <w:hideMark/>
          </w:tcPr>
          <w:p w:rsidR="003315BD" w:rsidRPr="00614F58" w:rsidRDefault="003315BD" w:rsidP="00301A41">
            <w:pPr>
              <w:suppressAutoHyphens w:val="0"/>
              <w:spacing w:after="0" w:line="240" w:lineRule="auto"/>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BADAMES</w:t>
            </w:r>
          </w:p>
        </w:tc>
        <w:tc>
          <w:tcPr>
            <w:tcW w:w="0" w:type="auto"/>
            <w:tcBorders>
              <w:top w:val="nil"/>
              <w:left w:val="nil"/>
              <w:bottom w:val="single" w:sz="4" w:space="0" w:color="auto"/>
              <w:right w:val="single" w:sz="4" w:space="0" w:color="auto"/>
            </w:tcBorders>
            <w:shd w:val="clear" w:color="auto" w:fill="auto"/>
            <w:noWrap/>
            <w:vAlign w:val="bottom"/>
            <w:hideMark/>
          </w:tcPr>
          <w:p w:rsidR="003315BD" w:rsidRPr="00614F58"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614F58">
              <w:rPr>
                <w:rFonts w:ascii="Arial" w:eastAsia="Times New Roman" w:hAnsi="Arial" w:cs="Arial"/>
                <w:color w:val="000000"/>
                <w:sz w:val="14"/>
                <w:szCs w:val="16"/>
                <w:lang w:eastAsia="es-ES"/>
              </w:rPr>
              <w:t>942679075</w:t>
            </w:r>
          </w:p>
        </w:tc>
      </w:tr>
    </w:tbl>
    <w:p w:rsidR="003315BD" w:rsidRDefault="003315BD" w:rsidP="003315BD">
      <w:pPr>
        <w:autoSpaceDE w:val="0"/>
        <w:spacing w:after="0" w:line="240" w:lineRule="auto"/>
        <w:rPr>
          <w:rFonts w:ascii="Century Gothic" w:eastAsia="CenturyGothic" w:hAnsi="Century Gothic" w:cs="CenturyGothic"/>
          <w:b/>
          <w:bCs/>
        </w:rPr>
      </w:pPr>
    </w:p>
    <w:tbl>
      <w:tblPr>
        <w:tblW w:w="0" w:type="auto"/>
        <w:tblCellMar>
          <w:left w:w="70" w:type="dxa"/>
          <w:right w:w="70" w:type="dxa"/>
        </w:tblCellMar>
        <w:tblLook w:val="04A0" w:firstRow="1" w:lastRow="0" w:firstColumn="1" w:lastColumn="0" w:noHBand="0" w:noVBand="1"/>
      </w:tblPr>
      <w:tblGrid>
        <w:gridCol w:w="2576"/>
        <w:gridCol w:w="1758"/>
        <w:gridCol w:w="2288"/>
        <w:gridCol w:w="530"/>
        <w:gridCol w:w="2084"/>
        <w:gridCol w:w="258"/>
        <w:gridCol w:w="903"/>
      </w:tblGrid>
      <w:tr w:rsidR="003315BD" w:rsidRPr="00BC4987" w:rsidTr="00301A41">
        <w:tc>
          <w:tcPr>
            <w:tcW w:w="0" w:type="auto"/>
            <w:gridSpan w:val="7"/>
            <w:tcBorders>
              <w:top w:val="nil"/>
              <w:left w:val="nil"/>
              <w:bottom w:val="single" w:sz="4" w:space="0" w:color="000000"/>
              <w:right w:val="nil"/>
            </w:tcBorders>
            <w:shd w:val="clear" w:color="FFFFCC" w:fill="FFFF99"/>
            <w:noWrap/>
            <w:vAlign w:val="center"/>
            <w:hideMark/>
          </w:tcPr>
          <w:p w:rsidR="003315BD" w:rsidRPr="00BC4987" w:rsidRDefault="003315BD" w:rsidP="00301A41">
            <w:pPr>
              <w:suppressAutoHyphens w:val="0"/>
              <w:spacing w:after="0" w:line="240" w:lineRule="auto"/>
              <w:jc w:val="center"/>
              <w:rPr>
                <w:rFonts w:ascii="Arial" w:eastAsia="Times New Roman" w:hAnsi="Arial" w:cs="Arial"/>
                <w:b/>
                <w:bCs/>
                <w:sz w:val="14"/>
                <w:szCs w:val="16"/>
                <w:lang w:eastAsia="es-ES"/>
              </w:rPr>
            </w:pPr>
            <w:r w:rsidRPr="00BC4987">
              <w:rPr>
                <w:rFonts w:ascii="Arial" w:eastAsia="Times New Roman" w:hAnsi="Arial" w:cs="Arial"/>
                <w:b/>
                <w:bCs/>
                <w:sz w:val="14"/>
                <w:szCs w:val="16"/>
                <w:lang w:eastAsia="es-ES"/>
              </w:rPr>
              <w:t>Area Torrelavega -Reinosa</w:t>
            </w:r>
          </w:p>
        </w:tc>
      </w:tr>
      <w:tr w:rsidR="003315BD" w:rsidRPr="00BC4987" w:rsidTr="00301A41">
        <w:tc>
          <w:tcPr>
            <w:tcW w:w="0" w:type="auto"/>
            <w:tcBorders>
              <w:top w:val="nil"/>
              <w:left w:val="nil"/>
              <w:bottom w:val="single" w:sz="4" w:space="0" w:color="000000"/>
              <w:right w:val="single" w:sz="4" w:space="0" w:color="000000"/>
            </w:tcBorders>
            <w:shd w:val="clear" w:color="9999FF" w:fill="CC99FF"/>
            <w:noWrap/>
            <w:vAlign w:val="bottom"/>
            <w:hideMark/>
          </w:tcPr>
          <w:p w:rsidR="003315BD" w:rsidRPr="00BC4987" w:rsidRDefault="003315BD" w:rsidP="00301A41">
            <w:pPr>
              <w:suppressAutoHyphens w:val="0"/>
              <w:spacing w:after="0" w:line="240" w:lineRule="auto"/>
              <w:rPr>
                <w:rFonts w:ascii="Arial" w:eastAsia="Times New Roman" w:hAnsi="Arial" w:cs="Arial"/>
                <w:b/>
                <w:bCs/>
                <w:color w:val="000000"/>
                <w:sz w:val="14"/>
                <w:szCs w:val="16"/>
                <w:lang w:eastAsia="es-ES"/>
              </w:rPr>
            </w:pPr>
            <w:r w:rsidRPr="00BC4987">
              <w:rPr>
                <w:rFonts w:ascii="Arial" w:eastAsia="Times New Roman" w:hAnsi="Arial" w:cs="Arial"/>
                <w:b/>
                <w:bCs/>
                <w:color w:val="000000"/>
                <w:sz w:val="14"/>
                <w:szCs w:val="16"/>
                <w:lang w:eastAsia="es-ES"/>
              </w:rPr>
              <w:t xml:space="preserve">             DESTINATARIO</w:t>
            </w:r>
          </w:p>
        </w:tc>
        <w:tc>
          <w:tcPr>
            <w:tcW w:w="0" w:type="auto"/>
            <w:tcBorders>
              <w:top w:val="nil"/>
              <w:left w:val="nil"/>
              <w:bottom w:val="single" w:sz="4" w:space="0" w:color="000000"/>
              <w:right w:val="single" w:sz="4" w:space="0" w:color="000000"/>
            </w:tcBorders>
            <w:shd w:val="clear" w:color="9999FF" w:fill="CC99FF"/>
            <w:noWrap/>
            <w:vAlign w:val="bottom"/>
            <w:hideMark/>
          </w:tcPr>
          <w:p w:rsidR="003315BD" w:rsidRPr="00BC4987"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BC4987">
              <w:rPr>
                <w:rFonts w:ascii="Arial" w:eastAsia="Times New Roman" w:hAnsi="Arial" w:cs="Arial"/>
                <w:b/>
                <w:bCs/>
                <w:color w:val="000000"/>
                <w:sz w:val="14"/>
                <w:szCs w:val="16"/>
                <w:lang w:eastAsia="es-ES"/>
              </w:rPr>
              <w:t>HORARIO DE ENTREGA</w:t>
            </w:r>
          </w:p>
        </w:tc>
        <w:tc>
          <w:tcPr>
            <w:tcW w:w="0" w:type="auto"/>
            <w:tcBorders>
              <w:top w:val="nil"/>
              <w:left w:val="nil"/>
              <w:bottom w:val="single" w:sz="4" w:space="0" w:color="000000"/>
              <w:right w:val="single" w:sz="4" w:space="0" w:color="000000"/>
            </w:tcBorders>
            <w:shd w:val="clear" w:color="9999FF" w:fill="CC99FF"/>
            <w:noWrap/>
            <w:vAlign w:val="bottom"/>
            <w:hideMark/>
          </w:tcPr>
          <w:p w:rsidR="003315BD" w:rsidRPr="00BC4987"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BC4987">
              <w:rPr>
                <w:rFonts w:ascii="Arial" w:eastAsia="Times New Roman" w:hAnsi="Arial" w:cs="Arial"/>
                <w:b/>
                <w:bCs/>
                <w:color w:val="000000"/>
                <w:sz w:val="14"/>
                <w:szCs w:val="16"/>
                <w:lang w:eastAsia="es-ES"/>
              </w:rPr>
              <w:t>DIRECCION</w:t>
            </w:r>
          </w:p>
        </w:tc>
        <w:tc>
          <w:tcPr>
            <w:tcW w:w="0" w:type="auto"/>
            <w:tcBorders>
              <w:top w:val="nil"/>
              <w:left w:val="nil"/>
              <w:bottom w:val="single" w:sz="4" w:space="0" w:color="000000"/>
              <w:right w:val="single" w:sz="4" w:space="0" w:color="000000"/>
            </w:tcBorders>
            <w:shd w:val="clear" w:color="9999FF" w:fill="CC99FF"/>
            <w:noWrap/>
            <w:vAlign w:val="bottom"/>
            <w:hideMark/>
          </w:tcPr>
          <w:p w:rsidR="003315BD" w:rsidRPr="00BC4987"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BC4987">
              <w:rPr>
                <w:rFonts w:ascii="Arial" w:eastAsia="Times New Roman" w:hAnsi="Arial" w:cs="Arial"/>
                <w:b/>
                <w:bCs/>
                <w:color w:val="000000"/>
                <w:sz w:val="14"/>
                <w:szCs w:val="16"/>
                <w:lang w:eastAsia="es-ES"/>
              </w:rPr>
              <w:t>C.P</w:t>
            </w:r>
          </w:p>
        </w:tc>
        <w:tc>
          <w:tcPr>
            <w:tcW w:w="0" w:type="auto"/>
            <w:tcBorders>
              <w:top w:val="nil"/>
              <w:left w:val="nil"/>
              <w:bottom w:val="single" w:sz="4" w:space="0" w:color="000000"/>
              <w:right w:val="nil"/>
            </w:tcBorders>
            <w:shd w:val="clear" w:color="9999FF" w:fill="CC99FF"/>
            <w:noWrap/>
            <w:vAlign w:val="bottom"/>
            <w:hideMark/>
          </w:tcPr>
          <w:p w:rsidR="003315BD" w:rsidRPr="00BC4987" w:rsidRDefault="003315BD" w:rsidP="00301A41">
            <w:pPr>
              <w:suppressAutoHyphens w:val="0"/>
              <w:spacing w:after="0" w:line="240" w:lineRule="auto"/>
              <w:jc w:val="center"/>
              <w:rPr>
                <w:rFonts w:ascii="Arial" w:eastAsia="Times New Roman" w:hAnsi="Arial" w:cs="Arial"/>
                <w:b/>
                <w:bCs/>
                <w:sz w:val="14"/>
                <w:szCs w:val="16"/>
                <w:lang w:eastAsia="es-ES"/>
              </w:rPr>
            </w:pPr>
            <w:r w:rsidRPr="00BC4987">
              <w:rPr>
                <w:rFonts w:ascii="Arial" w:eastAsia="Times New Roman" w:hAnsi="Arial" w:cs="Arial"/>
                <w:b/>
                <w:bCs/>
                <w:sz w:val="14"/>
                <w:szCs w:val="16"/>
                <w:lang w:eastAsia="es-ES"/>
              </w:rPr>
              <w:t xml:space="preserve">            POBLACION</w:t>
            </w:r>
          </w:p>
        </w:tc>
        <w:tc>
          <w:tcPr>
            <w:tcW w:w="0" w:type="auto"/>
            <w:tcBorders>
              <w:top w:val="nil"/>
              <w:left w:val="nil"/>
              <w:bottom w:val="single" w:sz="4" w:space="0" w:color="000000"/>
              <w:right w:val="single" w:sz="4" w:space="0" w:color="000000"/>
            </w:tcBorders>
            <w:shd w:val="clear" w:color="9999FF" w:fill="CC99FF"/>
            <w:noWrap/>
            <w:vAlign w:val="bottom"/>
            <w:hideMark/>
          </w:tcPr>
          <w:p w:rsidR="003315BD" w:rsidRPr="00BC4987" w:rsidRDefault="003315BD" w:rsidP="00301A41">
            <w:pPr>
              <w:suppressAutoHyphens w:val="0"/>
              <w:spacing w:after="0" w:line="240" w:lineRule="auto"/>
              <w:rPr>
                <w:rFonts w:ascii="Arial" w:eastAsia="Times New Roman" w:hAnsi="Arial" w:cs="Arial"/>
                <w:b/>
                <w:bCs/>
                <w:sz w:val="14"/>
                <w:szCs w:val="16"/>
                <w:lang w:eastAsia="es-ES"/>
              </w:rPr>
            </w:pPr>
            <w:r w:rsidRPr="00BC4987">
              <w:rPr>
                <w:rFonts w:ascii="Arial" w:eastAsia="Times New Roman" w:hAnsi="Arial" w:cs="Arial"/>
                <w:b/>
                <w:bCs/>
                <w:sz w:val="14"/>
                <w:szCs w:val="16"/>
                <w:lang w:eastAsia="es-ES"/>
              </w:rPr>
              <w:t> </w:t>
            </w:r>
          </w:p>
        </w:tc>
        <w:tc>
          <w:tcPr>
            <w:tcW w:w="0" w:type="auto"/>
            <w:tcBorders>
              <w:top w:val="nil"/>
              <w:left w:val="nil"/>
              <w:bottom w:val="single" w:sz="4" w:space="0" w:color="000000"/>
              <w:right w:val="single" w:sz="4" w:space="0" w:color="000000"/>
            </w:tcBorders>
            <w:shd w:val="clear" w:color="9999FF" w:fill="CC99FF"/>
            <w:noWrap/>
            <w:vAlign w:val="bottom"/>
            <w:hideMark/>
          </w:tcPr>
          <w:p w:rsidR="003315BD" w:rsidRPr="00BC4987" w:rsidRDefault="003315BD" w:rsidP="00301A41">
            <w:pPr>
              <w:suppressAutoHyphens w:val="0"/>
              <w:spacing w:after="0" w:line="240" w:lineRule="auto"/>
              <w:jc w:val="center"/>
              <w:rPr>
                <w:rFonts w:ascii="Arial" w:eastAsia="Times New Roman" w:hAnsi="Arial" w:cs="Arial"/>
                <w:b/>
                <w:bCs/>
                <w:color w:val="000000"/>
                <w:sz w:val="14"/>
                <w:szCs w:val="16"/>
                <w:lang w:eastAsia="es-ES"/>
              </w:rPr>
            </w:pPr>
            <w:r w:rsidRPr="00BC4987">
              <w:rPr>
                <w:rFonts w:ascii="Arial" w:eastAsia="Times New Roman" w:hAnsi="Arial" w:cs="Arial"/>
                <w:b/>
                <w:bCs/>
                <w:color w:val="000000"/>
                <w:sz w:val="14"/>
                <w:szCs w:val="16"/>
                <w:lang w:eastAsia="es-ES"/>
              </w:rPr>
              <w:t>TELEFONO</w:t>
            </w:r>
          </w:p>
        </w:tc>
      </w:tr>
      <w:tr w:rsidR="003315BD" w:rsidRPr="00BC4987" w:rsidTr="00301A41">
        <w:tc>
          <w:tcPr>
            <w:tcW w:w="0" w:type="auto"/>
            <w:tcBorders>
              <w:top w:val="nil"/>
              <w:left w:val="single" w:sz="4" w:space="0" w:color="000000"/>
              <w:bottom w:val="single" w:sz="4" w:space="0" w:color="000000"/>
              <w:right w:val="nil"/>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C.S LOS CORRALES</w:t>
            </w:r>
          </w:p>
        </w:tc>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8 a 14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Capitán Cortes,s/nº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39400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CORRALES DE BUELNA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942841976</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SAN FELICES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 a 11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Barrio Rivero,s/nº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39409</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SAN FELICES DE BUELNA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942814465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ARENAS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9:30 a 11:30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Plaza Hispanidad,95</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39450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ARENAS DE IGUÑA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942826515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MOLLEDO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xml:space="preserve">10 a 12h . </w:t>
            </w:r>
            <w:r w:rsidRPr="00BC4987">
              <w:rPr>
                <w:rFonts w:ascii="Arial" w:eastAsia="Times New Roman" w:hAnsi="Arial" w:cs="Arial"/>
                <w:b/>
                <w:bCs/>
                <w:color w:val="000000"/>
                <w:sz w:val="14"/>
                <w:szCs w:val="16"/>
                <w:lang w:eastAsia="es-ES"/>
              </w:rPr>
              <w:t xml:space="preserve">L-X-V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Molledo,s/nº.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39430</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MOLLEDO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942828551</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CIEZA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xml:space="preserve">9 a 11h. </w:t>
            </w:r>
            <w:r w:rsidRPr="00BC4987">
              <w:rPr>
                <w:rFonts w:ascii="Arial" w:eastAsia="Times New Roman" w:hAnsi="Arial" w:cs="Arial"/>
                <w:b/>
                <w:bCs/>
                <w:color w:val="000000"/>
                <w:sz w:val="14"/>
                <w:szCs w:val="16"/>
                <w:lang w:eastAsia="es-ES"/>
              </w:rPr>
              <w:t>L-X-J-V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Barrio Las Conchas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39407</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VILLAYUSO DE CIEZA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942817510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BARCENA PIE DE CONCHA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11 a 13h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Barcena de pie de Concha,s/nº.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39420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BARCENA DE PIE DE CONCHA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942817510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REINOSA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Emilio Valle,7</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39200</w:t>
            </w:r>
          </w:p>
        </w:tc>
        <w:tc>
          <w:tcPr>
            <w:tcW w:w="0" w:type="auto"/>
            <w:tcBorders>
              <w:top w:val="nil"/>
              <w:left w:val="nil"/>
              <w:bottom w:val="single" w:sz="4" w:space="0" w:color="000000"/>
              <w:right w:val="nil"/>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REINOSA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942750835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CAMPOO DE SUSO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9:30 a 11:30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Espinilla,s/nº.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39211</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ESPINILLA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942779544</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LAS ROZAS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xml:space="preserve">10:30 a 11:30 h. </w:t>
            </w:r>
            <w:r w:rsidRPr="00BC4987">
              <w:rPr>
                <w:rFonts w:ascii="Arial" w:eastAsia="Times New Roman" w:hAnsi="Arial" w:cs="Arial"/>
                <w:b/>
                <w:bCs/>
                <w:color w:val="000000"/>
                <w:sz w:val="14"/>
                <w:szCs w:val="16"/>
                <w:lang w:eastAsia="es-ES"/>
              </w:rPr>
              <w:t>M-J-V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Las Rozas de Valdearroyo,s/nº.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39416</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LAS ROZAS DE VALDEARROYO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942773190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CAMPOO DE YUSO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10:30 a 12:30h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 Costana,s/nº.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39292</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 COSTANA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942778309</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SANTIURDE</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xml:space="preserve">11 a 13 h. </w:t>
            </w:r>
            <w:r w:rsidRPr="00BC4987">
              <w:rPr>
                <w:rFonts w:ascii="Arial" w:eastAsia="Times New Roman" w:hAnsi="Arial" w:cs="Arial"/>
                <w:b/>
                <w:bCs/>
                <w:color w:val="000000"/>
                <w:sz w:val="14"/>
                <w:szCs w:val="16"/>
                <w:lang w:eastAsia="es-ES"/>
              </w:rPr>
              <w:t xml:space="preserve">L-M-X-V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Carretera General,s/n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39490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SANTIURDE DE REINOSA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942778635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C.R.ENMEDIO-  MATAMOROSA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xml:space="preserve">11 a 13 h. </w:t>
            </w:r>
            <w:r w:rsidRPr="00BC4987">
              <w:rPr>
                <w:rFonts w:ascii="Arial" w:eastAsia="Times New Roman" w:hAnsi="Arial" w:cs="Arial"/>
                <w:b/>
                <w:bCs/>
                <w:color w:val="000000"/>
                <w:sz w:val="14"/>
                <w:szCs w:val="16"/>
                <w:lang w:eastAsia="es-ES"/>
              </w:rPr>
              <w:t>L-M-X-V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García del Olmo,s/n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39200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MATAMOROSA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942753607</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SUANCES</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Avd. José Antonio,31</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39340</w:t>
            </w:r>
          </w:p>
        </w:tc>
        <w:tc>
          <w:tcPr>
            <w:tcW w:w="0" w:type="auto"/>
            <w:tcBorders>
              <w:top w:val="nil"/>
              <w:left w:val="nil"/>
              <w:bottom w:val="single" w:sz="4" w:space="0" w:color="000000"/>
              <w:right w:val="nil"/>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SUANCES</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942844100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LIEBANA - POTES</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Independencia,s/n</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39570</w:t>
            </w:r>
          </w:p>
        </w:tc>
        <w:tc>
          <w:tcPr>
            <w:tcW w:w="0" w:type="auto"/>
            <w:tcBorders>
              <w:top w:val="nil"/>
              <w:left w:val="nil"/>
              <w:bottom w:val="single" w:sz="4" w:space="0" w:color="000000"/>
              <w:right w:val="nil"/>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POTES</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942732218</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PESAGUERO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12:30 a 13:30h.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Pesaguero,s/nº.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39572</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PESAGUERO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942735010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LA HERMIDA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 a 12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 Hermida,s/nº.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39580</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 HERMIDA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942733543</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CABEZON DE LIEBANA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 a 12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Cabezón de liébana,s/nª</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39571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CABEZON DE LIEBANA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942736331</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CAMALEÑO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xml:space="preserve">11 a 14 h. </w:t>
            </w:r>
            <w:r w:rsidRPr="00BC4987">
              <w:rPr>
                <w:rFonts w:ascii="Arial" w:eastAsia="Times New Roman" w:hAnsi="Arial" w:cs="Arial"/>
                <w:b/>
                <w:bCs/>
                <w:color w:val="000000"/>
                <w:sz w:val="14"/>
                <w:szCs w:val="16"/>
                <w:lang w:eastAsia="es-ES"/>
              </w:rPr>
              <w:t>L- M- X -V.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Camaleño,s/nº.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39587</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CAMALEÑO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942733065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VEGA DE LIEBANA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 a 12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Vega de Líébana,s/nº.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39577</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VEGA DE LIEBANA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942736331</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LOS VALLES - MATAPORQUERA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Gran Cinema,1</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39410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MATAPORQUERA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942770445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POLIENTES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 a 12h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Polientes,s/n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39220</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POLIENTES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942776015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PUENTENANSA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Carretera Palencia-Tina Menor,s/n</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39544</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PUENTENANSA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942728188</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HERRERIAS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 a 13 h.</w:t>
            </w:r>
            <w:r w:rsidRPr="00BC4987">
              <w:rPr>
                <w:rFonts w:ascii="Arial" w:eastAsia="Times New Roman" w:hAnsi="Arial" w:cs="Arial"/>
                <w:b/>
                <w:bCs/>
                <w:color w:val="000000"/>
                <w:sz w:val="14"/>
                <w:szCs w:val="16"/>
                <w:lang w:eastAsia="es-ES"/>
              </w:rPr>
              <w:t>L-X-V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Bielva,s/nº.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39550</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BIELVA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942727616</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LAMASON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 a 13h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Sobrelapeña,s/nº.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39552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QUINTANILLA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942727804</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TUDANCA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 a 12 h.</w:t>
            </w:r>
            <w:r w:rsidRPr="00BC4987">
              <w:rPr>
                <w:rFonts w:ascii="Arial" w:eastAsia="Times New Roman" w:hAnsi="Arial" w:cs="Arial"/>
                <w:b/>
                <w:bCs/>
                <w:color w:val="000000"/>
                <w:sz w:val="14"/>
                <w:szCs w:val="16"/>
                <w:lang w:eastAsia="es-ES"/>
              </w:rPr>
              <w:t xml:space="preserve">L-X-J-V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Tudanca,s/nº.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39555</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 LASTRA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942714048</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POLANCO</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Rinconeda,1</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39313</w:t>
            </w:r>
          </w:p>
        </w:tc>
        <w:tc>
          <w:tcPr>
            <w:tcW w:w="0" w:type="auto"/>
            <w:tcBorders>
              <w:top w:val="nil"/>
              <w:left w:val="nil"/>
              <w:bottom w:val="single" w:sz="4" w:space="0" w:color="000000"/>
              <w:right w:val="nil"/>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POLANCO</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942845186</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MIENGO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 a 11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Miengo,s/nº.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39310</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MIENGO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942577211</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CUDON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 a 11 h.</w:t>
            </w:r>
            <w:r w:rsidRPr="00BC4987">
              <w:rPr>
                <w:rFonts w:ascii="Arial" w:eastAsia="Times New Roman" w:hAnsi="Arial" w:cs="Arial"/>
                <w:b/>
                <w:bCs/>
                <w:color w:val="000000"/>
                <w:sz w:val="14"/>
                <w:szCs w:val="16"/>
                <w:lang w:eastAsia="es-ES"/>
              </w:rPr>
              <w:t>L-M-J-V.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Cudón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39318</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CUDON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942577576</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CABEZON DE LA SAL</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Urb el Concejero ,1</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39500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CABEZON DE LA SAL</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942700060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UDIAS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xml:space="preserve">11 a 13 h. </w:t>
            </w:r>
            <w:r w:rsidRPr="00BC4987">
              <w:rPr>
                <w:rFonts w:ascii="Arial" w:eastAsia="Times New Roman" w:hAnsi="Arial" w:cs="Arial"/>
                <w:b/>
                <w:bCs/>
                <w:color w:val="000000"/>
                <w:sz w:val="14"/>
                <w:szCs w:val="16"/>
                <w:lang w:eastAsia="es-ES"/>
              </w:rPr>
              <w:t>L-X-J-V</w:t>
            </w:r>
            <w:r w:rsidRPr="00BC4987">
              <w:rPr>
                <w:rFonts w:ascii="Arial" w:eastAsia="Times New Roman" w:hAnsi="Arial" w:cs="Arial"/>
                <w:color w:val="000000"/>
                <w:sz w:val="14"/>
                <w:szCs w:val="16"/>
                <w:lang w:eastAsia="es-ES"/>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Pulmalverde,s/nº.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39507</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 HAYUELA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942704414</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VALDALIGA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9:30 a 11:30 h.</w:t>
            </w:r>
            <w:r w:rsidRPr="00BC4987">
              <w:rPr>
                <w:rFonts w:ascii="Arial" w:eastAsia="Times New Roman" w:hAnsi="Arial" w:cs="Arial"/>
                <w:b/>
                <w:bCs/>
                <w:color w:val="000000"/>
                <w:sz w:val="14"/>
                <w:szCs w:val="16"/>
                <w:lang w:eastAsia="es-ES"/>
              </w:rPr>
              <w:t xml:space="preserve">L-V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Roiz,s/nº.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39592</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TRECEÑO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942709885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MAZCUERRAS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9:30 a 11:30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Mazcuerras,s/nº.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39509</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MAZCUERRAS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942708614</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C.R.CABUERNIGA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11 a 13 h.</w:t>
            </w:r>
            <w:r w:rsidRPr="00BC4987">
              <w:rPr>
                <w:rFonts w:ascii="Arial" w:eastAsia="Times New Roman" w:hAnsi="Arial" w:cs="Arial"/>
                <w:b/>
                <w:bCs/>
                <w:color w:val="000000"/>
                <w:sz w:val="14"/>
                <w:szCs w:val="16"/>
                <w:lang w:eastAsia="es-ES"/>
              </w:rPr>
              <w:t xml:space="preserve">L-M-J-V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Barrio de Abajo ,s/n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39510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VALLE DE CABUERNIGA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942706324</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C.R.CASAR</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9:30 a 11:30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Barrio las Escuelas,s/n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39591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CASAR DE PERIEDO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942704127</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RUENTE</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9:30 a 11:30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Ruente,s/nº.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39513</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RUENTE</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942709159</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SAN VICENTE</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Arenal,2</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39540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SAN VICENTE DE LA BARQUERA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942712370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UNQUERA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8 a 11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Remigio Noriega,s/n</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39594</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UNQUERA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942717002</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COMILLAS</w:t>
            </w:r>
          </w:p>
        </w:tc>
        <w:tc>
          <w:tcPr>
            <w:tcW w:w="0" w:type="auto"/>
            <w:tcBorders>
              <w:top w:val="nil"/>
              <w:left w:val="nil"/>
              <w:bottom w:val="single" w:sz="4" w:space="0" w:color="000000"/>
              <w:right w:val="single" w:sz="4" w:space="0" w:color="000000"/>
            </w:tcBorders>
            <w:shd w:val="clear" w:color="FFFFCC" w:fill="FFFF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Plaza de la Estrada,1</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39520</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COMILLAS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942722270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VEGA DE ZAPATON</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Avd. de la Constitución,s/nº.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39300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TORRELAVEGA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942803602</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DOBRA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Avd. de la Llama,s/nº.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39300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TORRELAVEGA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942881159</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C.S COVADONGA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Avd. del Besaya,s/nº.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39300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TORRELAVEGA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942882124</w:t>
            </w:r>
          </w:p>
        </w:tc>
      </w:tr>
      <w:tr w:rsidR="003315BD" w:rsidRPr="00BC4987" w:rsidTr="00301A41">
        <w:tc>
          <w:tcPr>
            <w:tcW w:w="0" w:type="auto"/>
            <w:tcBorders>
              <w:top w:val="nil"/>
              <w:left w:val="single" w:sz="4" w:space="0" w:color="000000"/>
              <w:bottom w:val="single" w:sz="4" w:space="0" w:color="000000"/>
              <w:right w:val="nil"/>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C.S PUENTE SAN MIGUEL</w:t>
            </w:r>
          </w:p>
        </w:tc>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Bª La Teja, 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39530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PUENTE SAN MIGUEL</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942838515</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ALFOZ DE LLOREDO</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xml:space="preserve">9 A 13 h. </w:t>
            </w:r>
            <w:r w:rsidRPr="00BC4987">
              <w:rPr>
                <w:rFonts w:ascii="Arial" w:eastAsia="Times New Roman" w:hAnsi="Arial" w:cs="Arial"/>
                <w:b/>
                <w:bCs/>
                <w:color w:val="000000"/>
                <w:sz w:val="14"/>
                <w:szCs w:val="16"/>
                <w:lang w:eastAsia="es-ES"/>
              </w:rPr>
              <w:t>L- X -V.</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Novales,s/nº.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39526</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NOVALES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942726141</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RUILOBA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10:30 a 12:30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Ruiloba,s/nº.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39527</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RUILOBA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942722128</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SANTILLANA</w:t>
            </w:r>
          </w:p>
        </w:tc>
        <w:tc>
          <w:tcPr>
            <w:tcW w:w="0" w:type="auto"/>
            <w:tcBorders>
              <w:top w:val="nil"/>
              <w:left w:val="nil"/>
              <w:bottom w:val="single" w:sz="4" w:space="0" w:color="000000"/>
              <w:right w:val="single" w:sz="4" w:space="0" w:color="000000"/>
            </w:tcBorders>
            <w:shd w:val="clear" w:color="FFFFCC" w:fill="FFFF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Sanchez Tagle ,s/nº.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39330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SANTILLANA DEL MAR</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942818276</w:t>
            </w:r>
          </w:p>
        </w:tc>
      </w:tr>
      <w:tr w:rsidR="003315BD" w:rsidRPr="00BC4987" w:rsidTr="00301A41">
        <w:tc>
          <w:tcPr>
            <w:tcW w:w="0" w:type="auto"/>
            <w:tcBorders>
              <w:top w:val="nil"/>
              <w:left w:val="single" w:sz="4" w:space="0" w:color="000000"/>
              <w:bottom w:val="single" w:sz="4" w:space="0" w:color="000000"/>
              <w:right w:val="nil"/>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 S TANOS</w:t>
            </w:r>
          </w:p>
        </w:tc>
        <w:tc>
          <w:tcPr>
            <w:tcW w:w="0" w:type="auto"/>
            <w:tcBorders>
              <w:top w:val="nil"/>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8 a  13,30 h.</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sz w:val="14"/>
                <w:szCs w:val="16"/>
                <w:lang w:eastAsia="es-ES"/>
              </w:rPr>
            </w:pPr>
            <w:r w:rsidRPr="00BC4987">
              <w:rPr>
                <w:rFonts w:ascii="Arial" w:eastAsia="Times New Roman" w:hAnsi="Arial" w:cs="Arial"/>
                <w:sz w:val="14"/>
                <w:szCs w:val="16"/>
                <w:lang w:eastAsia="es-ES"/>
              </w:rPr>
              <w:t>Bº Santa Ana,s/nº.</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39300</w:t>
            </w:r>
          </w:p>
        </w:tc>
        <w:tc>
          <w:tcPr>
            <w:tcW w:w="0" w:type="auto"/>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TORRELAVEGA</w:t>
            </w:r>
          </w:p>
        </w:tc>
        <w:tc>
          <w:tcPr>
            <w:tcW w:w="0" w:type="auto"/>
            <w:tcBorders>
              <w:top w:val="nil"/>
              <w:left w:val="nil"/>
              <w:bottom w:val="single" w:sz="4" w:space="0" w:color="000000"/>
              <w:right w:val="single" w:sz="4" w:space="0" w:color="000000"/>
            </w:tcBorders>
            <w:shd w:val="clear" w:color="CCCCFF" w:fill="99CCFF"/>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942800950</w:t>
            </w:r>
          </w:p>
        </w:tc>
      </w:tr>
      <w:tr w:rsidR="003315BD" w:rsidRPr="00BC4987" w:rsidTr="00301A41">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C.R. CARTES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10:30 a 12:30h</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Lagüera,s/nº.</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39311</w:t>
            </w:r>
          </w:p>
        </w:tc>
        <w:tc>
          <w:tcPr>
            <w:tcW w:w="0" w:type="auto"/>
            <w:tcBorders>
              <w:top w:val="nil"/>
              <w:left w:val="nil"/>
              <w:bottom w:val="single" w:sz="4" w:space="0" w:color="000000"/>
              <w:right w:val="nil"/>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CARTES</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BC4987" w:rsidRDefault="003315BD" w:rsidP="00301A41">
            <w:pPr>
              <w:suppressAutoHyphens w:val="0"/>
              <w:spacing w:after="0" w:line="240" w:lineRule="auto"/>
              <w:jc w:val="right"/>
              <w:rPr>
                <w:rFonts w:ascii="Arial" w:eastAsia="Times New Roman" w:hAnsi="Arial" w:cs="Arial"/>
                <w:color w:val="000000"/>
                <w:sz w:val="14"/>
                <w:szCs w:val="16"/>
                <w:lang w:eastAsia="es-ES"/>
              </w:rPr>
            </w:pPr>
            <w:r w:rsidRPr="00BC4987">
              <w:rPr>
                <w:rFonts w:ascii="Arial" w:eastAsia="Times New Roman" w:hAnsi="Arial" w:cs="Arial"/>
                <w:color w:val="000000"/>
                <w:sz w:val="14"/>
                <w:szCs w:val="16"/>
                <w:lang w:eastAsia="es-ES"/>
              </w:rPr>
              <w:t>942819396</w:t>
            </w:r>
          </w:p>
        </w:tc>
      </w:tr>
    </w:tbl>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Default="003F3B93" w:rsidP="003315BD">
      <w:pPr>
        <w:autoSpaceDE w:val="0"/>
        <w:spacing w:after="0" w:line="240" w:lineRule="auto"/>
        <w:rPr>
          <w:rFonts w:ascii="Century Gothic" w:eastAsia="CenturyGothic" w:hAnsi="Century Gothic" w:cs="CenturyGothic"/>
          <w:b/>
          <w:bCs/>
        </w:rPr>
      </w:pPr>
    </w:p>
    <w:p w:rsidR="003F3B93" w:rsidRPr="00657D84" w:rsidRDefault="003F3B93" w:rsidP="003315BD">
      <w:pPr>
        <w:autoSpaceDE w:val="0"/>
        <w:spacing w:after="0" w:line="240" w:lineRule="auto"/>
        <w:rPr>
          <w:rFonts w:ascii="Century Gothic" w:eastAsia="CenturyGothic" w:hAnsi="Century Gothic" w:cs="CenturyGothic"/>
          <w:b/>
          <w:bCs/>
        </w:rPr>
      </w:pPr>
    </w:p>
    <w:p w:rsidR="003315BD" w:rsidRPr="00657D84" w:rsidRDefault="00CA5A64" w:rsidP="003315BD">
      <w:pPr>
        <w:autoSpaceDE w:val="0"/>
        <w:spacing w:after="0" w:line="240" w:lineRule="auto"/>
        <w:rPr>
          <w:rFonts w:ascii="Century Gothic" w:eastAsia="CenturyGothic" w:hAnsi="Century Gothic" w:cs="CenturyGothic"/>
          <w:b/>
          <w:bCs/>
        </w:rPr>
      </w:pPr>
      <w:r>
        <w:rPr>
          <w:rFonts w:ascii="Century Gothic" w:eastAsia="CenturyGothic" w:hAnsi="Century Gothic" w:cs="CenturyGothic"/>
          <w:b/>
          <w:bCs/>
        </w:rPr>
        <w:t>2.</w:t>
      </w:r>
      <w:r w:rsidR="00657D84" w:rsidRPr="00657D84">
        <w:rPr>
          <w:rFonts w:ascii="Century Gothic" w:eastAsia="CenturyGothic" w:hAnsi="Century Gothic" w:cs="CenturyGothic"/>
          <w:b/>
          <w:bCs/>
        </w:rPr>
        <w:t>5</w:t>
      </w:r>
      <w:r w:rsidR="003F3B93" w:rsidRPr="00657D84">
        <w:rPr>
          <w:rFonts w:ascii="Century Gothic" w:eastAsia="CenturyGothic" w:hAnsi="Century Gothic" w:cs="CenturyGothic"/>
          <w:b/>
          <w:bCs/>
        </w:rPr>
        <w:t>.-</w:t>
      </w:r>
      <w:r w:rsidR="003315BD" w:rsidRPr="00657D84">
        <w:rPr>
          <w:rFonts w:ascii="Century Gothic" w:eastAsia="CenturyGothic" w:hAnsi="Century Gothic" w:cs="CenturyGothic"/>
          <w:b/>
          <w:bCs/>
        </w:rPr>
        <w:t xml:space="preserve"> </w:t>
      </w:r>
      <w:r w:rsidR="00657D84" w:rsidRPr="00657D84">
        <w:rPr>
          <w:rFonts w:ascii="Century Gothic" w:eastAsia="CenturyGothic" w:hAnsi="Century Gothic" w:cs="CenturyGothic"/>
          <w:b/>
          <w:bCs/>
        </w:rPr>
        <w:t xml:space="preserve">Distribución por </w:t>
      </w:r>
      <w:r w:rsidR="003315BD" w:rsidRPr="00657D84">
        <w:rPr>
          <w:rFonts w:ascii="Century Gothic" w:eastAsia="CenturyGothic" w:hAnsi="Century Gothic" w:cs="CenturyGothic"/>
          <w:b/>
          <w:bCs/>
        </w:rPr>
        <w:t>centros de salud</w:t>
      </w:r>
      <w:r w:rsidR="003F3B93" w:rsidRPr="00657D84">
        <w:rPr>
          <w:rFonts w:ascii="Century Gothic" w:eastAsia="CenturyGothic" w:hAnsi="Century Gothic" w:cs="CenturyGothic"/>
          <w:b/>
          <w:bCs/>
        </w:rPr>
        <w:t xml:space="preserve"> </w:t>
      </w:r>
    </w:p>
    <w:p w:rsidR="00657D84" w:rsidRPr="00E8124E" w:rsidRDefault="00657D84" w:rsidP="003315BD">
      <w:pPr>
        <w:autoSpaceDE w:val="0"/>
        <w:spacing w:after="0" w:line="240" w:lineRule="auto"/>
        <w:rPr>
          <w:rFonts w:ascii="Century Gothic" w:eastAsia="CenturyGothic" w:hAnsi="Century Gothic" w:cs="CenturyGothic"/>
          <w:b/>
          <w:bCs/>
          <w:color w:val="FF0000"/>
        </w:rPr>
      </w:pPr>
    </w:p>
    <w:tbl>
      <w:tblPr>
        <w:tblW w:w="0" w:type="auto"/>
        <w:tblInd w:w="70" w:type="dxa"/>
        <w:tblCellMar>
          <w:left w:w="70" w:type="dxa"/>
          <w:right w:w="70" w:type="dxa"/>
        </w:tblCellMar>
        <w:tblLook w:val="04A0" w:firstRow="1" w:lastRow="0" w:firstColumn="1" w:lastColumn="0" w:noHBand="0" w:noVBand="1"/>
      </w:tblPr>
      <w:tblGrid>
        <w:gridCol w:w="2342"/>
        <w:gridCol w:w="2598"/>
        <w:gridCol w:w="994"/>
        <w:gridCol w:w="994"/>
        <w:gridCol w:w="994"/>
        <w:gridCol w:w="1035"/>
      </w:tblGrid>
      <w:tr w:rsidR="003315BD" w:rsidRPr="00E8124E" w:rsidTr="00301A41">
        <w:trPr>
          <w:trHeight w:val="20"/>
        </w:trPr>
        <w:tc>
          <w:tcPr>
            <w:tcW w:w="0" w:type="auto"/>
            <w:gridSpan w:val="6"/>
            <w:tcBorders>
              <w:top w:val="nil"/>
              <w:left w:val="nil"/>
              <w:bottom w:val="single" w:sz="8" w:space="0" w:color="000000"/>
              <w:right w:val="nil"/>
            </w:tcBorders>
            <w:shd w:val="clear" w:color="auto" w:fill="auto"/>
            <w:noWrap/>
            <w:vAlign w:val="bottom"/>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bookmarkStart w:id="0" w:name="RANGE!A1:F69"/>
            <w:r w:rsidRPr="00657D84">
              <w:rPr>
                <w:rFonts w:ascii="Arial" w:eastAsia="Times New Roman" w:hAnsi="Arial" w:cs="Arial"/>
                <w:b/>
                <w:bCs/>
                <w:sz w:val="14"/>
                <w:szCs w:val="16"/>
                <w:lang w:eastAsia="es-ES"/>
              </w:rPr>
              <w:t>PREVISIÓN VACUNAS GRIPE AREA SANTANDER 2018-2019</w:t>
            </w:r>
            <w:bookmarkEnd w:id="0"/>
          </w:p>
        </w:tc>
      </w:tr>
      <w:tr w:rsidR="003315BD" w:rsidRPr="00E8124E" w:rsidTr="00301A41">
        <w:trPr>
          <w:trHeight w:val="20"/>
        </w:trPr>
        <w:tc>
          <w:tcPr>
            <w:tcW w:w="0" w:type="auto"/>
            <w:tcBorders>
              <w:top w:val="single" w:sz="4" w:space="0" w:color="000000"/>
              <w:left w:val="double" w:sz="6" w:space="0" w:color="000000"/>
              <w:bottom w:val="single" w:sz="4" w:space="0" w:color="000000"/>
              <w:right w:val="single" w:sz="4" w:space="0" w:color="000000"/>
            </w:tcBorders>
            <w:shd w:val="clear" w:color="FFFF00" w:fill="FFFF00"/>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ZONA BÁSICA</w:t>
            </w:r>
          </w:p>
        </w:tc>
        <w:tc>
          <w:tcPr>
            <w:tcW w:w="0" w:type="auto"/>
            <w:tcBorders>
              <w:top w:val="single" w:sz="4" w:space="0" w:color="000000"/>
              <w:left w:val="nil"/>
              <w:bottom w:val="single" w:sz="4" w:space="0" w:color="000000"/>
              <w:right w:val="single" w:sz="4" w:space="0" w:color="000000"/>
            </w:tcBorders>
            <w:shd w:val="clear" w:color="FFFF00" w:fill="FFFF00"/>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CENTRO SALUD / CONSULTORIO</w:t>
            </w:r>
          </w:p>
        </w:tc>
        <w:tc>
          <w:tcPr>
            <w:tcW w:w="0" w:type="auto"/>
            <w:tcBorders>
              <w:top w:val="single" w:sz="4" w:space="0" w:color="000000"/>
              <w:left w:val="nil"/>
              <w:bottom w:val="single" w:sz="4" w:space="0" w:color="000000"/>
              <w:right w:val="single" w:sz="4" w:space="0" w:color="000000"/>
            </w:tcBorders>
            <w:shd w:val="clear" w:color="FFFF00" w:fill="FFFF00"/>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1ª ENTREGA</w:t>
            </w:r>
          </w:p>
        </w:tc>
        <w:tc>
          <w:tcPr>
            <w:tcW w:w="0" w:type="auto"/>
            <w:tcBorders>
              <w:top w:val="single" w:sz="4" w:space="0" w:color="000000"/>
              <w:left w:val="nil"/>
              <w:bottom w:val="single" w:sz="4" w:space="0" w:color="000000"/>
              <w:right w:val="single" w:sz="4" w:space="0" w:color="000000"/>
            </w:tcBorders>
            <w:shd w:val="clear" w:color="FFFF00" w:fill="FFFF00"/>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2ª ENTREGA</w:t>
            </w:r>
          </w:p>
        </w:tc>
        <w:tc>
          <w:tcPr>
            <w:tcW w:w="0" w:type="auto"/>
            <w:tcBorders>
              <w:top w:val="single" w:sz="4" w:space="0" w:color="000000"/>
              <w:left w:val="nil"/>
              <w:bottom w:val="single" w:sz="4" w:space="0" w:color="000000"/>
              <w:right w:val="single" w:sz="4" w:space="0" w:color="000000"/>
            </w:tcBorders>
            <w:shd w:val="clear" w:color="FFFF00" w:fill="FFFF00"/>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3ª ENTREGA</w:t>
            </w:r>
          </w:p>
        </w:tc>
        <w:tc>
          <w:tcPr>
            <w:tcW w:w="0" w:type="auto"/>
            <w:tcBorders>
              <w:top w:val="single" w:sz="4" w:space="0" w:color="000000"/>
              <w:left w:val="nil"/>
              <w:bottom w:val="single" w:sz="4" w:space="0" w:color="000000"/>
              <w:right w:val="double" w:sz="6" w:space="0" w:color="000000"/>
            </w:tcBorders>
            <w:shd w:val="clear" w:color="FFFF00" w:fill="FFFF00"/>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 xml:space="preserve">ASIGNACION </w:t>
            </w:r>
          </w:p>
        </w:tc>
      </w:tr>
      <w:tr w:rsidR="003315BD" w:rsidRPr="00E8124E"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ALTO PAS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C.S. ONTANEDA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190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657D84"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C.R. LUENA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657D84"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C.R. SAN PEDRO DEL ROMERAL</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657D84"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C.R. SANTIURDE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657D84"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C.R. VEGA DE PAS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 xml:space="preserve">TOTAL  </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1.100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190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1.290</w:t>
            </w:r>
          </w:p>
        </w:tc>
      </w:tr>
      <w:tr w:rsidR="003315BD" w:rsidRPr="00E8124E" w:rsidTr="00301A41">
        <w:trPr>
          <w:trHeight w:val="20"/>
        </w:trPr>
        <w:tc>
          <w:tcPr>
            <w:tcW w:w="0" w:type="auto"/>
            <w:vMerge w:val="restart"/>
            <w:tcBorders>
              <w:top w:val="nil"/>
              <w:left w:val="double" w:sz="6" w:space="0" w:color="000000"/>
              <w:bottom w:val="nil"/>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BAJO PAS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C.S.RENEDO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340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vMerge/>
            <w:tcBorders>
              <w:top w:val="nil"/>
              <w:left w:val="double" w:sz="6" w:space="0" w:color="000000"/>
              <w:bottom w:val="nil"/>
              <w:right w:val="single" w:sz="4" w:space="0" w:color="000000"/>
            </w:tcBorders>
            <w:vAlign w:val="center"/>
            <w:hideMark/>
          </w:tcPr>
          <w:p w:rsidR="003315BD" w:rsidRPr="00657D84"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C.R.PUENTE ARCE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vMerge/>
            <w:tcBorders>
              <w:top w:val="nil"/>
              <w:left w:val="double" w:sz="6" w:space="0" w:color="000000"/>
              <w:bottom w:val="nil"/>
              <w:right w:val="single" w:sz="4" w:space="0" w:color="000000"/>
            </w:tcBorders>
            <w:vAlign w:val="center"/>
            <w:hideMark/>
          </w:tcPr>
          <w:p w:rsidR="003315BD" w:rsidRPr="00657D84"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C.R.PUENTE VIESGO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vMerge/>
            <w:tcBorders>
              <w:top w:val="nil"/>
              <w:left w:val="double" w:sz="6" w:space="0" w:color="000000"/>
              <w:bottom w:val="nil"/>
              <w:right w:val="single" w:sz="4" w:space="0" w:color="000000"/>
            </w:tcBorders>
            <w:vAlign w:val="center"/>
            <w:hideMark/>
          </w:tcPr>
          <w:p w:rsidR="003315BD" w:rsidRPr="00657D84"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C.R. VARGAS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vMerge/>
            <w:tcBorders>
              <w:top w:val="nil"/>
              <w:left w:val="double" w:sz="6" w:space="0" w:color="000000"/>
              <w:bottom w:val="nil"/>
              <w:right w:val="single" w:sz="4" w:space="0" w:color="000000"/>
            </w:tcBorders>
            <w:vAlign w:val="center"/>
            <w:hideMark/>
          </w:tcPr>
          <w:p w:rsidR="003315BD" w:rsidRPr="00657D84"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C.R. BOO DE PIELAGOS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1.450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740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2.190</w:t>
            </w:r>
          </w:p>
        </w:tc>
      </w:tr>
      <w:tr w:rsidR="003315BD" w:rsidRPr="00E8124E"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CAMARGO INTERIOR</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 xml:space="preserve">C.S. JOSE BARROS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360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360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2.360</w:t>
            </w:r>
          </w:p>
        </w:tc>
      </w:tr>
      <w:tr w:rsidR="003315BD" w:rsidRPr="00E8124E"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CAMARGO COSTA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rPr>
                <w:rFonts w:ascii="Arial" w:eastAsia="Times New Roman" w:hAnsi="Arial" w:cs="Arial"/>
                <w:sz w:val="14"/>
                <w:szCs w:val="16"/>
                <w:lang w:eastAsia="es-ES"/>
              </w:rPr>
            </w:pPr>
            <w:r w:rsidRPr="00657D84">
              <w:rPr>
                <w:rFonts w:ascii="Arial" w:eastAsia="Times New Roman" w:hAnsi="Arial" w:cs="Arial"/>
                <w:sz w:val="14"/>
                <w:szCs w:val="16"/>
                <w:lang w:eastAsia="es-ES"/>
              </w:rPr>
              <w:t>C.S. CAMARGO COSTA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390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700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390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2.090</w:t>
            </w:r>
          </w:p>
        </w:tc>
      </w:tr>
      <w:tr w:rsidR="003315BD" w:rsidRPr="00E8124E"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MARINA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C.S. MARINA- CASTILLA HERMIDA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510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1.300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510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2.810</w:t>
            </w:r>
          </w:p>
        </w:tc>
      </w:tr>
      <w:tr w:rsidR="003315BD" w:rsidRPr="00E8124E"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CAZOÑA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C.S. CAZOÑA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880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880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1.880</w:t>
            </w:r>
          </w:p>
        </w:tc>
      </w:tr>
      <w:tr w:rsidR="003315BD" w:rsidRPr="00E8124E"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ALISAL</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rPr>
                <w:rFonts w:ascii="Arial" w:eastAsia="Times New Roman" w:hAnsi="Arial" w:cs="Arial"/>
                <w:sz w:val="14"/>
                <w:szCs w:val="16"/>
                <w:lang w:eastAsia="es-ES"/>
              </w:rPr>
            </w:pPr>
            <w:r w:rsidRPr="00657D84">
              <w:rPr>
                <w:rFonts w:ascii="Arial" w:eastAsia="Times New Roman" w:hAnsi="Arial" w:cs="Arial"/>
                <w:sz w:val="14"/>
                <w:szCs w:val="16"/>
                <w:lang w:eastAsia="es-ES"/>
              </w:rPr>
              <w:t>C.S. ALISAL</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540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700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540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2.240</w:t>
            </w:r>
          </w:p>
        </w:tc>
      </w:tr>
      <w:tr w:rsidR="003315BD" w:rsidRPr="00E8124E"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CENTRO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4"/>
                <w:szCs w:val="16"/>
                <w:lang w:eastAsia="es-ES"/>
              </w:rPr>
            </w:pPr>
            <w:r w:rsidRPr="00657D84">
              <w:rPr>
                <w:rFonts w:ascii="Arial" w:eastAsia="Times New Roman" w:hAnsi="Arial" w:cs="Arial"/>
                <w:sz w:val="14"/>
                <w:szCs w:val="16"/>
                <w:lang w:eastAsia="es-ES"/>
              </w:rPr>
              <w:t>C.S. ISABEL II</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1.150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940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4"/>
                <w:szCs w:val="16"/>
                <w:lang w:eastAsia="es-ES"/>
              </w:rPr>
            </w:pPr>
            <w:r w:rsidRPr="00657D84">
              <w:rPr>
                <w:rFonts w:ascii="Arial" w:eastAsia="Times New Roman" w:hAnsi="Arial" w:cs="Arial"/>
                <w:sz w:val="14"/>
                <w:szCs w:val="16"/>
                <w:lang w:eastAsia="es-ES"/>
              </w:rPr>
              <w:t> </w:t>
            </w:r>
          </w:p>
        </w:tc>
      </w:tr>
      <w:tr w:rsidR="003315BD" w:rsidRPr="00E8124E"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1.100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1.150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940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4"/>
                <w:szCs w:val="16"/>
                <w:lang w:eastAsia="es-ES"/>
              </w:rPr>
            </w:pPr>
            <w:r w:rsidRPr="00657D84">
              <w:rPr>
                <w:rFonts w:ascii="Arial" w:eastAsia="Times New Roman" w:hAnsi="Arial" w:cs="Arial"/>
                <w:b/>
                <w:bCs/>
                <w:sz w:val="14"/>
                <w:szCs w:val="16"/>
                <w:lang w:eastAsia="es-ES"/>
              </w:rPr>
              <w:t>3.190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CUDEYO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CUDEYO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120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ENTRAMBASAGUAS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MARINA DE CUDEYO (RUBAYO)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SUESA (RIB AL MAR)</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SOMO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HOZ DE ANERO (RIB AL MONTE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right"/>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1.500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420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3.920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DAVILA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DR MORANTE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1.850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1.400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1.850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1.400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1.400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4.650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EL ASTILLERO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ASTILLERO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480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VILLAESCUSA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C.R.LIAÑO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1.400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1.300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480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3.180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MARUCA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8D69CD" w:rsidRDefault="003315BD" w:rsidP="00301A41">
            <w:pPr>
              <w:suppressAutoHyphens w:val="0"/>
              <w:spacing w:after="0" w:line="240" w:lineRule="auto"/>
              <w:rPr>
                <w:rFonts w:ascii="Arial" w:eastAsia="Times New Roman" w:hAnsi="Arial" w:cs="Arial"/>
                <w:sz w:val="14"/>
                <w:szCs w:val="16"/>
                <w:lang w:eastAsia="es-ES"/>
              </w:rPr>
            </w:pPr>
            <w:r w:rsidRPr="008D69CD">
              <w:rPr>
                <w:rFonts w:ascii="Arial" w:eastAsia="Times New Roman" w:hAnsi="Arial" w:cs="Arial"/>
                <w:sz w:val="14"/>
                <w:szCs w:val="16"/>
                <w:lang w:eastAsia="es-ES"/>
              </w:rPr>
              <w:t>C.S. LOS CASTROS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350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8D69CD" w:rsidRDefault="003315BD" w:rsidP="00301A41">
            <w:pPr>
              <w:suppressAutoHyphens w:val="0"/>
              <w:spacing w:after="0" w:line="240" w:lineRule="auto"/>
              <w:rPr>
                <w:rFonts w:ascii="Arial" w:eastAsia="Times New Roman" w:hAnsi="Arial" w:cs="Arial"/>
                <w:sz w:val="14"/>
                <w:szCs w:val="16"/>
                <w:lang w:eastAsia="es-ES"/>
              </w:rPr>
            </w:pPr>
            <w:r w:rsidRPr="008D69CD">
              <w:rPr>
                <w:rFonts w:ascii="Arial" w:eastAsia="Times New Roman" w:hAnsi="Arial" w:cs="Arial"/>
                <w:sz w:val="14"/>
                <w:szCs w:val="16"/>
                <w:lang w:eastAsia="es-ES"/>
              </w:rPr>
              <w:t>C.R. MONTE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1.100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900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350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2.350</w:t>
            </w:r>
          </w:p>
        </w:tc>
      </w:tr>
      <w:tr w:rsidR="003315BD" w:rsidRPr="008D69CD" w:rsidTr="00301A41">
        <w:trPr>
          <w:trHeight w:val="20"/>
        </w:trPr>
        <w:tc>
          <w:tcPr>
            <w:tcW w:w="0" w:type="auto"/>
            <w:tcBorders>
              <w:top w:val="nil"/>
              <w:left w:val="double" w:sz="6" w:space="0" w:color="000000"/>
              <w:bottom w:val="nil"/>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BEZANA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BEZANA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800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700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150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1.650</w:t>
            </w:r>
          </w:p>
        </w:tc>
      </w:tr>
      <w:tr w:rsidR="003315BD" w:rsidRPr="008D69CD" w:rsidTr="00301A41">
        <w:trPr>
          <w:trHeight w:val="20"/>
        </w:trPr>
        <w:tc>
          <w:tcPr>
            <w:tcW w:w="0" w:type="auto"/>
            <w:tcBorders>
              <w:top w:val="nil"/>
              <w:left w:val="double" w:sz="6" w:space="0" w:color="000000"/>
              <w:bottom w:val="nil"/>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MIERA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LIERGANES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180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400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180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1.180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PISUEÑA CAYÓN</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SARON</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140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CASTAÑEDA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PENAGOS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LA PENILLA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140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1.740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PISUEÑA SELAYA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SELAYA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170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VILLACARRIEDO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VILLAFUFRE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750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370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1.120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PUERTOCHICO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PUERTOCHICO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650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1.300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1.700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650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3.650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SARDINERO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SARDINERO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370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C.R.CUETO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900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370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1.870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bottom"/>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VARGAS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 S. VARGAS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1.330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right"/>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1.330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4.530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bottom"/>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NUEVA MONTAÑA</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8D69CD" w:rsidRDefault="003315BD" w:rsidP="00301A41">
            <w:pPr>
              <w:suppressAutoHyphens w:val="0"/>
              <w:spacing w:after="0" w:line="240" w:lineRule="auto"/>
              <w:rPr>
                <w:rFonts w:ascii="Arial" w:eastAsia="Times New Roman" w:hAnsi="Arial" w:cs="Arial"/>
                <w:sz w:val="14"/>
                <w:szCs w:val="16"/>
                <w:lang w:eastAsia="es-ES"/>
              </w:rPr>
            </w:pPr>
            <w:r w:rsidRPr="008D69CD">
              <w:rPr>
                <w:rFonts w:ascii="Arial" w:eastAsia="Times New Roman" w:hAnsi="Arial" w:cs="Arial"/>
                <w:sz w:val="14"/>
                <w:szCs w:val="16"/>
                <w:lang w:eastAsia="es-ES"/>
              </w:rPr>
              <w:t>C.S. LA  MONTAÑA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500</w:t>
            </w:r>
          </w:p>
        </w:tc>
        <w:tc>
          <w:tcPr>
            <w:tcW w:w="0" w:type="auto"/>
            <w:tcBorders>
              <w:top w:val="nil"/>
              <w:left w:val="nil"/>
              <w:bottom w:val="single" w:sz="4" w:space="0" w:color="000000"/>
              <w:right w:val="single" w:sz="4" w:space="0" w:color="000000"/>
            </w:tcBorders>
            <w:shd w:val="clear" w:color="auto" w:fill="auto"/>
            <w:noWrap/>
            <w:vAlign w:val="bottom"/>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340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700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500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340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1.540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GERENCIA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ALMACEN GAP</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1.850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800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right"/>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right"/>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1.850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800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2.650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33CCCC" w:fill="00CCFF"/>
            <w:noWrap/>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REMANENTE EN LABORATORIO</w:t>
            </w:r>
          </w:p>
        </w:tc>
        <w:tc>
          <w:tcPr>
            <w:tcW w:w="0" w:type="auto"/>
            <w:tcBorders>
              <w:top w:val="nil"/>
              <w:left w:val="nil"/>
              <w:bottom w:val="single" w:sz="4" w:space="0" w:color="000000"/>
              <w:right w:val="single" w:sz="4" w:space="0" w:color="000000"/>
            </w:tcBorders>
            <w:shd w:val="clear" w:color="33CCCC" w:fill="00CCFF"/>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33CCCC" w:fill="00CCFF"/>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33CCCC" w:fill="00CCFF"/>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33CCCC" w:fill="00CCFF"/>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double" w:sz="6" w:space="0" w:color="000000"/>
            </w:tcBorders>
            <w:shd w:val="clear" w:color="33CCCC" w:fill="00CCFF"/>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r>
      <w:tr w:rsidR="003315BD" w:rsidRPr="008D69CD" w:rsidTr="00301A41">
        <w:trPr>
          <w:trHeight w:val="20"/>
        </w:trPr>
        <w:tc>
          <w:tcPr>
            <w:tcW w:w="0" w:type="auto"/>
            <w:tcBorders>
              <w:top w:val="nil"/>
              <w:left w:val="double" w:sz="6" w:space="0" w:color="000000"/>
              <w:bottom w:val="nil"/>
              <w:right w:val="nil"/>
            </w:tcBorders>
            <w:shd w:val="clear" w:color="33CCCC" w:fill="00CCFF"/>
            <w:noWrap/>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nil"/>
              <w:right w:val="nil"/>
            </w:tcBorders>
            <w:shd w:val="clear" w:color="33CCCC" w:fill="00CCFF"/>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ALMACEN GAP</w:t>
            </w:r>
          </w:p>
        </w:tc>
        <w:tc>
          <w:tcPr>
            <w:tcW w:w="0" w:type="auto"/>
            <w:tcBorders>
              <w:top w:val="nil"/>
              <w:left w:val="nil"/>
              <w:bottom w:val="nil"/>
              <w:right w:val="nil"/>
            </w:tcBorders>
            <w:shd w:val="clear" w:color="33CCCC" w:fill="00CCFF"/>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nil"/>
              <w:right w:val="nil"/>
            </w:tcBorders>
            <w:shd w:val="clear" w:color="33CCCC" w:fill="00CCFF"/>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nil"/>
              <w:right w:val="single" w:sz="4" w:space="0" w:color="000000"/>
            </w:tcBorders>
            <w:shd w:val="clear" w:color="33CCCC" w:fill="00CCFF"/>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nil"/>
              <w:right w:val="double" w:sz="6" w:space="0" w:color="000000"/>
            </w:tcBorders>
            <w:shd w:val="clear" w:color="33CCCC" w:fill="00CCFF"/>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3.680</w:t>
            </w:r>
          </w:p>
        </w:tc>
      </w:tr>
      <w:tr w:rsidR="003315BD" w:rsidRPr="008D69CD" w:rsidTr="00301A41">
        <w:trPr>
          <w:trHeight w:val="20"/>
        </w:trPr>
        <w:tc>
          <w:tcPr>
            <w:tcW w:w="0" w:type="auto"/>
            <w:gridSpan w:val="5"/>
            <w:tcBorders>
              <w:top w:val="single" w:sz="4" w:space="0" w:color="000000"/>
              <w:left w:val="double" w:sz="6" w:space="0" w:color="000000"/>
              <w:bottom w:val="double" w:sz="6"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rPr>
                <w:rFonts w:ascii="Arial" w:eastAsia="Times New Roman" w:hAnsi="Arial" w:cs="Arial"/>
                <w:b/>
                <w:bCs/>
                <w:color w:val="FF00FF"/>
                <w:sz w:val="14"/>
                <w:szCs w:val="16"/>
                <w:lang w:eastAsia="es-ES"/>
              </w:rPr>
            </w:pPr>
            <w:r w:rsidRPr="008D69CD">
              <w:rPr>
                <w:rFonts w:ascii="Arial" w:eastAsia="Times New Roman" w:hAnsi="Arial" w:cs="Arial"/>
                <w:b/>
                <w:bCs/>
                <w:color w:val="FF00FF"/>
                <w:sz w:val="14"/>
                <w:szCs w:val="16"/>
                <w:lang w:eastAsia="es-ES"/>
              </w:rPr>
              <w:t>TOTAL AREA SANTANDER</w:t>
            </w:r>
          </w:p>
        </w:tc>
        <w:tc>
          <w:tcPr>
            <w:tcW w:w="0" w:type="auto"/>
            <w:tcBorders>
              <w:top w:val="single" w:sz="4" w:space="0" w:color="000000"/>
              <w:left w:val="nil"/>
              <w:bottom w:val="double" w:sz="6" w:space="0" w:color="000000"/>
              <w:right w:val="nil"/>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color w:val="FF00FF"/>
                <w:sz w:val="14"/>
                <w:szCs w:val="16"/>
                <w:lang w:eastAsia="es-ES"/>
              </w:rPr>
            </w:pPr>
            <w:r w:rsidRPr="008D69CD">
              <w:rPr>
                <w:rFonts w:ascii="Arial" w:eastAsia="Times New Roman" w:hAnsi="Arial" w:cs="Arial"/>
                <w:b/>
                <w:bCs/>
                <w:color w:val="FF00FF"/>
                <w:sz w:val="14"/>
                <w:szCs w:val="16"/>
                <w:lang w:eastAsia="es-ES"/>
              </w:rPr>
              <w:t>55.760</w:t>
            </w:r>
          </w:p>
        </w:tc>
      </w:tr>
    </w:tbl>
    <w:p w:rsidR="003315BD" w:rsidRDefault="003315BD"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tbl>
      <w:tblPr>
        <w:tblW w:w="0" w:type="auto"/>
        <w:tblInd w:w="70" w:type="dxa"/>
        <w:tblCellMar>
          <w:left w:w="70" w:type="dxa"/>
          <w:right w:w="70" w:type="dxa"/>
        </w:tblCellMar>
        <w:tblLook w:val="04A0" w:firstRow="1" w:lastRow="0" w:firstColumn="1" w:lastColumn="0" w:noHBand="0" w:noVBand="1"/>
      </w:tblPr>
      <w:tblGrid>
        <w:gridCol w:w="2015"/>
        <w:gridCol w:w="2544"/>
        <w:gridCol w:w="994"/>
        <w:gridCol w:w="994"/>
        <w:gridCol w:w="994"/>
        <w:gridCol w:w="1035"/>
      </w:tblGrid>
      <w:tr w:rsidR="003315BD" w:rsidRPr="008D69CD" w:rsidTr="00301A41">
        <w:trPr>
          <w:trHeight w:val="20"/>
        </w:trPr>
        <w:tc>
          <w:tcPr>
            <w:tcW w:w="0" w:type="auto"/>
            <w:gridSpan w:val="6"/>
            <w:tcBorders>
              <w:top w:val="double" w:sz="6" w:space="0" w:color="000000"/>
              <w:left w:val="double" w:sz="6" w:space="0" w:color="000000"/>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color w:val="FF00FF"/>
                <w:sz w:val="14"/>
                <w:szCs w:val="32"/>
                <w:lang w:eastAsia="es-ES"/>
              </w:rPr>
            </w:pPr>
            <w:bookmarkStart w:id="1" w:name="RANGE!A1:F40"/>
            <w:r w:rsidRPr="008D69CD">
              <w:rPr>
                <w:rFonts w:ascii="Arial" w:eastAsia="Times New Roman" w:hAnsi="Arial" w:cs="Arial"/>
                <w:b/>
                <w:bCs/>
                <w:color w:val="FF00FF"/>
                <w:sz w:val="14"/>
                <w:szCs w:val="32"/>
                <w:lang w:eastAsia="es-ES"/>
              </w:rPr>
              <w:t>PREVISIÓN VACUNAS GRIPE AREA LAREDO 2018-2019</w:t>
            </w:r>
            <w:bookmarkEnd w:id="1"/>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FFFF00" w:fill="FFFF00"/>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4"/>
                <w:lang w:eastAsia="es-ES"/>
              </w:rPr>
            </w:pPr>
            <w:r w:rsidRPr="008D69CD">
              <w:rPr>
                <w:rFonts w:ascii="Arial" w:eastAsia="Times New Roman" w:hAnsi="Arial" w:cs="Arial"/>
                <w:b/>
                <w:bCs/>
                <w:sz w:val="14"/>
                <w:szCs w:val="24"/>
                <w:lang w:eastAsia="es-ES"/>
              </w:rPr>
              <w:t>ZONA BÁSICA</w:t>
            </w:r>
          </w:p>
        </w:tc>
        <w:tc>
          <w:tcPr>
            <w:tcW w:w="0" w:type="auto"/>
            <w:tcBorders>
              <w:top w:val="nil"/>
              <w:left w:val="nil"/>
              <w:bottom w:val="single" w:sz="4" w:space="0" w:color="000000"/>
              <w:right w:val="single" w:sz="4"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4"/>
                <w:lang w:eastAsia="es-ES"/>
              </w:rPr>
            </w:pPr>
            <w:r w:rsidRPr="008D69CD">
              <w:rPr>
                <w:rFonts w:ascii="Arial" w:eastAsia="Times New Roman" w:hAnsi="Arial" w:cs="Arial"/>
                <w:b/>
                <w:bCs/>
                <w:sz w:val="14"/>
                <w:szCs w:val="24"/>
                <w:lang w:eastAsia="es-ES"/>
              </w:rPr>
              <w:t>CENTRO SALUD / CONSULTORIO</w:t>
            </w:r>
          </w:p>
        </w:tc>
        <w:tc>
          <w:tcPr>
            <w:tcW w:w="0" w:type="auto"/>
            <w:tcBorders>
              <w:top w:val="nil"/>
              <w:left w:val="nil"/>
              <w:bottom w:val="single" w:sz="4" w:space="0" w:color="000000"/>
              <w:right w:val="single" w:sz="4"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4"/>
                <w:lang w:eastAsia="es-ES"/>
              </w:rPr>
            </w:pPr>
            <w:r w:rsidRPr="008D69CD">
              <w:rPr>
                <w:rFonts w:ascii="Arial" w:eastAsia="Times New Roman" w:hAnsi="Arial" w:cs="Arial"/>
                <w:b/>
                <w:bCs/>
                <w:sz w:val="14"/>
                <w:szCs w:val="24"/>
                <w:lang w:eastAsia="es-ES"/>
              </w:rPr>
              <w:t>1ª ENTREGA</w:t>
            </w:r>
          </w:p>
        </w:tc>
        <w:tc>
          <w:tcPr>
            <w:tcW w:w="0" w:type="auto"/>
            <w:tcBorders>
              <w:top w:val="nil"/>
              <w:left w:val="nil"/>
              <w:bottom w:val="single" w:sz="4" w:space="0" w:color="000000"/>
              <w:right w:val="single" w:sz="4"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4"/>
                <w:lang w:eastAsia="es-ES"/>
              </w:rPr>
            </w:pPr>
            <w:r w:rsidRPr="008D69CD">
              <w:rPr>
                <w:rFonts w:ascii="Arial" w:eastAsia="Times New Roman" w:hAnsi="Arial" w:cs="Arial"/>
                <w:b/>
                <w:bCs/>
                <w:sz w:val="14"/>
                <w:szCs w:val="24"/>
                <w:lang w:eastAsia="es-ES"/>
              </w:rPr>
              <w:t>2ª ENTREGA</w:t>
            </w:r>
          </w:p>
        </w:tc>
        <w:tc>
          <w:tcPr>
            <w:tcW w:w="0" w:type="auto"/>
            <w:tcBorders>
              <w:top w:val="nil"/>
              <w:left w:val="nil"/>
              <w:bottom w:val="single" w:sz="4" w:space="0" w:color="000000"/>
              <w:right w:val="single" w:sz="4"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4"/>
                <w:lang w:eastAsia="es-ES"/>
              </w:rPr>
            </w:pPr>
            <w:r w:rsidRPr="008D69CD">
              <w:rPr>
                <w:rFonts w:ascii="Arial" w:eastAsia="Times New Roman" w:hAnsi="Arial" w:cs="Arial"/>
                <w:b/>
                <w:bCs/>
                <w:sz w:val="14"/>
                <w:szCs w:val="24"/>
                <w:lang w:eastAsia="es-ES"/>
              </w:rPr>
              <w:t>3ª ENTREGA</w:t>
            </w:r>
          </w:p>
        </w:tc>
        <w:tc>
          <w:tcPr>
            <w:tcW w:w="0" w:type="auto"/>
            <w:tcBorders>
              <w:top w:val="nil"/>
              <w:left w:val="nil"/>
              <w:bottom w:val="single" w:sz="4" w:space="0" w:color="000000"/>
              <w:right w:val="double" w:sz="6"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4"/>
                <w:lang w:eastAsia="es-ES"/>
              </w:rPr>
            </w:pPr>
            <w:r w:rsidRPr="008D69CD">
              <w:rPr>
                <w:rFonts w:ascii="Arial" w:eastAsia="Times New Roman" w:hAnsi="Arial" w:cs="Arial"/>
                <w:b/>
                <w:bCs/>
                <w:sz w:val="14"/>
                <w:szCs w:val="24"/>
                <w:lang w:eastAsia="es-ES"/>
              </w:rPr>
              <w:t xml:space="preserve">ASIGNACION </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CASTRO URDIALES NORTE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C.S. LA BARRERA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530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GURIEZO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VALLE DE VILLAVERDE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1.350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1.100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530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2.980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CASTRO URDIALES SUR</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 xml:space="preserve">C.S. COTOLINO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800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350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100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1.250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ALTO ASON</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C.S. RAMALES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90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ARREDONDO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RUESGA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CASATABLAS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900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500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90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1.490</w:t>
            </w:r>
          </w:p>
        </w:tc>
      </w:tr>
      <w:tr w:rsidR="003315BD" w:rsidRPr="008D69CD" w:rsidTr="00301A41">
        <w:trPr>
          <w:trHeight w:val="20"/>
        </w:trPr>
        <w:tc>
          <w:tcPr>
            <w:tcW w:w="0" w:type="auto"/>
            <w:tcBorders>
              <w:top w:val="nil"/>
              <w:left w:val="double" w:sz="6" w:space="0" w:color="000000"/>
              <w:bottom w:val="nil"/>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BAJO ASON</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C.S. AMPUERO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270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270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1.470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COLINDRES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C.S. DR. LOPEZ ALBO - COLINDRES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300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VOTO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850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650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300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1.800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GAMA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C.S. GAMA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80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ESCALANTE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 R. BERANGA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CICERO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TRETO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SOLORZANO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ARGOÑOS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500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80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1.580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LAREDO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 xml:space="preserve">C.S LAREDO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340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LIENDO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1.250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340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2.590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MERUELO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C.S. MERUELO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ARNUERO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CASTILLO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.ISLA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AJO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20"/>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C.R. NOJA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520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1.520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SANTOÑA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20"/>
                <w:lang w:eastAsia="es-ES"/>
              </w:rPr>
            </w:pPr>
            <w:r w:rsidRPr="008D69CD">
              <w:rPr>
                <w:rFonts w:ascii="Arial" w:eastAsia="Times New Roman" w:hAnsi="Arial" w:cs="Arial"/>
                <w:sz w:val="14"/>
                <w:szCs w:val="20"/>
                <w:lang w:eastAsia="es-ES"/>
              </w:rPr>
              <w:t>C.S. SANTOÑA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290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20"/>
                <w:lang w:eastAsia="es-ES"/>
              </w:rPr>
            </w:pPr>
            <w:r w:rsidRPr="008D69CD">
              <w:rPr>
                <w:rFonts w:ascii="Arial" w:eastAsia="Times New Roman" w:hAnsi="Arial" w:cs="Arial"/>
                <w:sz w:val="14"/>
                <w:szCs w:val="20"/>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290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1.890</w:t>
            </w:r>
          </w:p>
        </w:tc>
      </w:tr>
      <w:tr w:rsidR="003315BD" w:rsidRPr="008D69CD" w:rsidTr="00301A41">
        <w:trPr>
          <w:trHeight w:val="20"/>
        </w:trPr>
        <w:tc>
          <w:tcPr>
            <w:tcW w:w="0" w:type="auto"/>
            <w:tcBorders>
              <w:top w:val="nil"/>
              <w:left w:val="double" w:sz="6" w:space="0" w:color="000000"/>
              <w:bottom w:val="nil"/>
              <w:right w:val="nil"/>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 </w:t>
            </w:r>
          </w:p>
        </w:tc>
        <w:tc>
          <w:tcPr>
            <w:tcW w:w="0" w:type="auto"/>
            <w:tcBorders>
              <w:top w:val="nil"/>
              <w:left w:val="nil"/>
              <w:bottom w:val="nil"/>
              <w:right w:val="nil"/>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 </w:t>
            </w:r>
          </w:p>
        </w:tc>
        <w:tc>
          <w:tcPr>
            <w:tcW w:w="0" w:type="auto"/>
            <w:tcBorders>
              <w:top w:val="nil"/>
              <w:left w:val="nil"/>
              <w:bottom w:val="nil"/>
              <w:right w:val="nil"/>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 </w:t>
            </w:r>
          </w:p>
        </w:tc>
        <w:tc>
          <w:tcPr>
            <w:tcW w:w="0" w:type="auto"/>
            <w:tcBorders>
              <w:top w:val="nil"/>
              <w:left w:val="nil"/>
              <w:bottom w:val="nil"/>
              <w:right w:val="nil"/>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 </w:t>
            </w:r>
          </w:p>
        </w:tc>
        <w:tc>
          <w:tcPr>
            <w:tcW w:w="0" w:type="auto"/>
            <w:tcBorders>
              <w:top w:val="nil"/>
              <w:left w:val="nil"/>
              <w:bottom w:val="nil"/>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 </w:t>
            </w:r>
          </w:p>
        </w:tc>
        <w:tc>
          <w:tcPr>
            <w:tcW w:w="0" w:type="auto"/>
            <w:tcBorders>
              <w:top w:val="nil"/>
              <w:left w:val="nil"/>
              <w:bottom w:val="nil"/>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20"/>
                <w:lang w:eastAsia="es-ES"/>
              </w:rPr>
            </w:pPr>
            <w:r w:rsidRPr="008D69CD">
              <w:rPr>
                <w:rFonts w:ascii="Arial" w:eastAsia="Times New Roman" w:hAnsi="Arial" w:cs="Arial"/>
                <w:b/>
                <w:bCs/>
                <w:sz w:val="14"/>
                <w:szCs w:val="20"/>
                <w:lang w:eastAsia="es-ES"/>
              </w:rPr>
              <w:t> </w:t>
            </w:r>
          </w:p>
        </w:tc>
      </w:tr>
      <w:tr w:rsidR="003315BD" w:rsidRPr="008D69CD" w:rsidTr="00301A41">
        <w:trPr>
          <w:trHeight w:val="20"/>
        </w:trPr>
        <w:tc>
          <w:tcPr>
            <w:tcW w:w="0" w:type="auto"/>
            <w:gridSpan w:val="5"/>
            <w:tcBorders>
              <w:top w:val="single" w:sz="4" w:space="0" w:color="000000"/>
              <w:left w:val="double" w:sz="6" w:space="0" w:color="000000"/>
              <w:bottom w:val="double" w:sz="6"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color w:val="FF00FF"/>
                <w:sz w:val="14"/>
                <w:szCs w:val="36"/>
                <w:lang w:eastAsia="es-ES"/>
              </w:rPr>
            </w:pPr>
            <w:r w:rsidRPr="008D69CD">
              <w:rPr>
                <w:rFonts w:ascii="Arial" w:eastAsia="Times New Roman" w:hAnsi="Arial" w:cs="Arial"/>
                <w:b/>
                <w:bCs/>
                <w:color w:val="FF00FF"/>
                <w:sz w:val="14"/>
                <w:szCs w:val="36"/>
                <w:lang w:eastAsia="es-ES"/>
              </w:rPr>
              <w:t>TOTAL AREA LAREDO</w:t>
            </w:r>
          </w:p>
        </w:tc>
        <w:tc>
          <w:tcPr>
            <w:tcW w:w="0" w:type="auto"/>
            <w:tcBorders>
              <w:top w:val="single" w:sz="4" w:space="0" w:color="000000"/>
              <w:left w:val="nil"/>
              <w:bottom w:val="double" w:sz="6"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color w:val="FF00FF"/>
                <w:sz w:val="14"/>
                <w:szCs w:val="36"/>
                <w:lang w:eastAsia="es-ES"/>
              </w:rPr>
            </w:pPr>
            <w:r w:rsidRPr="008D69CD">
              <w:rPr>
                <w:rFonts w:ascii="Arial" w:eastAsia="Times New Roman" w:hAnsi="Arial" w:cs="Arial"/>
                <w:b/>
                <w:bCs/>
                <w:color w:val="FF00FF"/>
                <w:sz w:val="14"/>
                <w:szCs w:val="36"/>
                <w:lang w:eastAsia="es-ES"/>
              </w:rPr>
              <w:t>16.570</w:t>
            </w:r>
          </w:p>
        </w:tc>
      </w:tr>
    </w:tbl>
    <w:p w:rsidR="003315BD" w:rsidRDefault="003315BD"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p w:rsidR="005A3600" w:rsidRDefault="005A3600" w:rsidP="003315BD">
      <w:pPr>
        <w:autoSpaceDE w:val="0"/>
        <w:spacing w:after="0" w:line="240" w:lineRule="auto"/>
        <w:rPr>
          <w:rFonts w:ascii="Century Gothic" w:eastAsia="CenturyGothic" w:hAnsi="Century Gothic" w:cs="CenturyGothic"/>
          <w:b/>
          <w:bCs/>
        </w:rPr>
      </w:pPr>
    </w:p>
    <w:tbl>
      <w:tblPr>
        <w:tblW w:w="0" w:type="auto"/>
        <w:tblInd w:w="70" w:type="dxa"/>
        <w:tblCellMar>
          <w:left w:w="70" w:type="dxa"/>
          <w:right w:w="70" w:type="dxa"/>
        </w:tblCellMar>
        <w:tblLook w:val="04A0" w:firstRow="1" w:lastRow="0" w:firstColumn="1" w:lastColumn="0" w:noHBand="0" w:noVBand="1"/>
      </w:tblPr>
      <w:tblGrid>
        <w:gridCol w:w="1844"/>
        <w:gridCol w:w="2576"/>
        <w:gridCol w:w="994"/>
        <w:gridCol w:w="994"/>
        <w:gridCol w:w="994"/>
        <w:gridCol w:w="1035"/>
      </w:tblGrid>
      <w:tr w:rsidR="003315BD" w:rsidRPr="008D69CD" w:rsidTr="00301A41">
        <w:trPr>
          <w:trHeight w:val="20"/>
        </w:trPr>
        <w:tc>
          <w:tcPr>
            <w:tcW w:w="0" w:type="auto"/>
            <w:gridSpan w:val="6"/>
            <w:tcBorders>
              <w:top w:val="double" w:sz="6" w:space="0" w:color="000000"/>
              <w:left w:val="double" w:sz="6" w:space="0" w:color="000000"/>
              <w:bottom w:val="single" w:sz="4" w:space="0" w:color="000000"/>
              <w:right w:val="double" w:sz="6" w:space="0" w:color="000000"/>
            </w:tcBorders>
            <w:shd w:val="clear" w:color="auto" w:fill="auto"/>
            <w:noWrap/>
            <w:vAlign w:val="bottom"/>
            <w:hideMark/>
          </w:tcPr>
          <w:p w:rsidR="003315BD" w:rsidRPr="008D69CD" w:rsidRDefault="003315BD" w:rsidP="00301A41">
            <w:pPr>
              <w:suppressAutoHyphens w:val="0"/>
              <w:spacing w:after="0" w:line="240" w:lineRule="auto"/>
              <w:jc w:val="center"/>
              <w:rPr>
                <w:rFonts w:ascii="Arial" w:eastAsia="Times New Roman" w:hAnsi="Arial" w:cs="Arial"/>
                <w:b/>
                <w:bCs/>
                <w:color w:val="FF00FF"/>
                <w:sz w:val="14"/>
                <w:szCs w:val="16"/>
                <w:lang w:eastAsia="es-ES"/>
              </w:rPr>
            </w:pPr>
            <w:bookmarkStart w:id="2" w:name="RANGE!A1:F65"/>
            <w:r w:rsidRPr="008D69CD">
              <w:rPr>
                <w:rFonts w:ascii="Arial" w:eastAsia="Times New Roman" w:hAnsi="Arial" w:cs="Arial"/>
                <w:b/>
                <w:bCs/>
                <w:color w:val="FF00FF"/>
                <w:sz w:val="14"/>
                <w:szCs w:val="16"/>
                <w:lang w:eastAsia="es-ES"/>
              </w:rPr>
              <w:t>PREVISIÓN VACUNAS GRIPE AREA TORRELAVEGA-REINOSA 2018-2019</w:t>
            </w:r>
            <w:bookmarkEnd w:id="2"/>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FFFF00" w:fill="FFFF00"/>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ZONA BÁSICA</w:t>
            </w:r>
          </w:p>
        </w:tc>
        <w:tc>
          <w:tcPr>
            <w:tcW w:w="0" w:type="auto"/>
            <w:tcBorders>
              <w:top w:val="nil"/>
              <w:left w:val="nil"/>
              <w:bottom w:val="single" w:sz="4" w:space="0" w:color="000000"/>
              <w:right w:val="single" w:sz="4"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CENTRO SALUD / CONSULTORIO</w:t>
            </w:r>
          </w:p>
        </w:tc>
        <w:tc>
          <w:tcPr>
            <w:tcW w:w="0" w:type="auto"/>
            <w:tcBorders>
              <w:top w:val="nil"/>
              <w:left w:val="nil"/>
              <w:bottom w:val="single" w:sz="4" w:space="0" w:color="000000"/>
              <w:right w:val="single" w:sz="4"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1ª ENTREGA</w:t>
            </w:r>
          </w:p>
        </w:tc>
        <w:tc>
          <w:tcPr>
            <w:tcW w:w="0" w:type="auto"/>
            <w:tcBorders>
              <w:top w:val="nil"/>
              <w:left w:val="nil"/>
              <w:bottom w:val="single" w:sz="4" w:space="0" w:color="000000"/>
              <w:right w:val="single" w:sz="4"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2ª ENTREGA</w:t>
            </w:r>
          </w:p>
        </w:tc>
        <w:tc>
          <w:tcPr>
            <w:tcW w:w="0" w:type="auto"/>
            <w:tcBorders>
              <w:top w:val="nil"/>
              <w:left w:val="nil"/>
              <w:bottom w:val="single" w:sz="4" w:space="0" w:color="000000"/>
              <w:right w:val="single" w:sz="4"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3ª ENTREGA</w:t>
            </w:r>
          </w:p>
        </w:tc>
        <w:tc>
          <w:tcPr>
            <w:tcW w:w="0" w:type="auto"/>
            <w:tcBorders>
              <w:top w:val="nil"/>
              <w:left w:val="nil"/>
              <w:bottom w:val="single" w:sz="4" w:space="0" w:color="000000"/>
              <w:right w:val="double" w:sz="6" w:space="0" w:color="000000"/>
            </w:tcBorders>
            <w:shd w:val="clear" w:color="FFFF00" w:fill="FFFF00"/>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xml:space="preserve">ASIGNACION </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ALTAMIRA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PUENTE 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750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180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SANTILLANA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RUILOBA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ALFOZ DE LLOREDO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1.200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180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2.980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BUELNA-BESAYA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LOS CORRALES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CIEZA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BARCENA PIE CONCHA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.MOLLEDO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ARENAS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SAN FELICES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1.150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100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3.250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CAMPOO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REINOSA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370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ENMEDIO- MATAMOROSA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LAS ROZAS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SANTIURDE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CAMPOO DE SUSO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CAMPOO DE YUSO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1.950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1.550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370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3.870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SUANCES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SUANCES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600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50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50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1.250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LIEBANA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LIEBANA (POTES)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130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CABEZON DE LIEBANA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CAMALEÑO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LA HERMIDA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PESAGUERO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VEGA DE LIEBANA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1.400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230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1.630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LOS VALLES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LOS VALLES -MATAPORQUERA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340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POLIENTES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540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540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NANSA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PUENTENANSA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240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TUDANCA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125</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LA MASON</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125</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HERRERIAS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690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690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POLANCO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POLANCO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360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MIENGO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.CUDON</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850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710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1.560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SAJA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CABEZON DE LA SAL</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650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380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MAZCUERRAS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UDIAS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CABUERNIGA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RUENTE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VALDALIGA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CASAR</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1.700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880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2.580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SAN VICENTE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340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COMILLAS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.VAL SAN VICENTE (UNQUERA)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1.100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640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1.740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TORRELAVEGA CENTRO</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VEGA DE ZAPATON</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1.700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750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1.700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750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3.450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TORRELAVEGA NORTE</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DOBRA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1.500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1.300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280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1.500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1.300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280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3.080</w:t>
            </w:r>
          </w:p>
        </w:tc>
      </w:tr>
      <w:tr w:rsidR="003315BD" w:rsidRPr="008D69CD" w:rsidTr="00301A41">
        <w:trPr>
          <w:trHeight w:val="20"/>
        </w:trPr>
        <w:tc>
          <w:tcPr>
            <w:tcW w:w="0" w:type="auto"/>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TORRELAVEGA SUR</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COVADONGA</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380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sz w:val="14"/>
                <w:szCs w:val="16"/>
                <w:lang w:eastAsia="es-ES"/>
              </w:rPr>
            </w:pPr>
            <w:r w:rsidRPr="008D69CD">
              <w:rPr>
                <w:rFonts w:ascii="Arial" w:eastAsia="Times New Roman" w:hAnsi="Arial" w:cs="Arial"/>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1.000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800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380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2.180</w:t>
            </w:r>
          </w:p>
        </w:tc>
      </w:tr>
      <w:tr w:rsidR="003315BD" w:rsidRPr="008D69CD" w:rsidTr="00301A41">
        <w:trPr>
          <w:trHeight w:val="20"/>
        </w:trPr>
        <w:tc>
          <w:tcPr>
            <w:tcW w:w="0" w:type="auto"/>
            <w:vMerge w:val="restart"/>
            <w:tcBorders>
              <w:top w:val="nil"/>
              <w:left w:val="double" w:sz="6" w:space="0" w:color="000000"/>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TORRELAVEGA CARTES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C.S. TANOS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120</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r>
      <w:tr w:rsidR="003315BD" w:rsidRPr="008D69CD" w:rsidTr="00301A41">
        <w:trPr>
          <w:trHeight w:val="20"/>
        </w:trPr>
        <w:tc>
          <w:tcPr>
            <w:tcW w:w="0" w:type="auto"/>
            <w:vMerge/>
            <w:tcBorders>
              <w:top w:val="nil"/>
              <w:left w:val="double" w:sz="6" w:space="0" w:color="000000"/>
              <w:bottom w:val="single" w:sz="4" w:space="0" w:color="000000"/>
              <w:right w:val="single" w:sz="4" w:space="0" w:color="000000"/>
            </w:tcBorders>
            <w:vAlign w:val="center"/>
            <w:hideMark/>
          </w:tcPr>
          <w:p w:rsidR="003315BD" w:rsidRPr="008D69CD" w:rsidRDefault="003315BD" w:rsidP="00301A41">
            <w:pPr>
              <w:suppressAutoHyphens w:val="0"/>
              <w:spacing w:after="0" w:line="240" w:lineRule="auto"/>
              <w:rPr>
                <w:rFonts w:ascii="Arial" w:eastAsia="Times New Roman" w:hAnsi="Arial" w:cs="Arial"/>
                <w:b/>
                <w:bCs/>
                <w:sz w:val="14"/>
                <w:szCs w:val="16"/>
                <w:lang w:eastAsia="es-ES"/>
              </w:rPr>
            </w:pP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both"/>
              <w:rPr>
                <w:rFonts w:ascii="Arial" w:eastAsia="Times New Roman" w:hAnsi="Arial" w:cs="Arial"/>
                <w:sz w:val="14"/>
                <w:szCs w:val="16"/>
                <w:lang w:eastAsia="es-ES"/>
              </w:rPr>
            </w:pPr>
            <w:r w:rsidRPr="008D69CD">
              <w:rPr>
                <w:rFonts w:ascii="Arial" w:eastAsia="Times New Roman" w:hAnsi="Arial" w:cs="Arial"/>
                <w:sz w:val="14"/>
                <w:szCs w:val="16"/>
                <w:lang w:eastAsia="es-ES"/>
              </w:rPr>
              <w:t>C.R. CARTES</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single" w:sz="4" w:space="0" w:color="000000"/>
              <w:right w:val="double" w:sz="6"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r>
      <w:tr w:rsidR="003315BD" w:rsidRPr="008D69CD" w:rsidTr="00301A41">
        <w:trPr>
          <w:trHeight w:val="20"/>
        </w:trPr>
        <w:tc>
          <w:tcPr>
            <w:tcW w:w="0" w:type="auto"/>
            <w:gridSpan w:val="2"/>
            <w:tcBorders>
              <w:top w:val="single" w:sz="4" w:space="0" w:color="000000"/>
              <w:left w:val="double" w:sz="6" w:space="0" w:color="000000"/>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TOTAL</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1.200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400</w:t>
            </w:r>
          </w:p>
        </w:tc>
        <w:tc>
          <w:tcPr>
            <w:tcW w:w="0" w:type="auto"/>
            <w:tcBorders>
              <w:top w:val="nil"/>
              <w:left w:val="nil"/>
              <w:bottom w:val="single" w:sz="4" w:space="0" w:color="000000"/>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120</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1.720</w:t>
            </w:r>
          </w:p>
        </w:tc>
      </w:tr>
      <w:tr w:rsidR="003315BD" w:rsidRPr="008D69CD" w:rsidTr="00301A41">
        <w:trPr>
          <w:trHeight w:val="20"/>
        </w:trPr>
        <w:tc>
          <w:tcPr>
            <w:tcW w:w="0" w:type="auto"/>
            <w:tcBorders>
              <w:top w:val="nil"/>
              <w:left w:val="double" w:sz="6" w:space="0" w:color="000000"/>
              <w:bottom w:val="nil"/>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nil"/>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nil"/>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17.830</w:t>
            </w:r>
          </w:p>
        </w:tc>
        <w:tc>
          <w:tcPr>
            <w:tcW w:w="0" w:type="auto"/>
            <w:tcBorders>
              <w:top w:val="nil"/>
              <w:left w:val="nil"/>
              <w:bottom w:val="nil"/>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nil"/>
              <w:right w:val="single" w:sz="4"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c>
          <w:tcPr>
            <w:tcW w:w="0" w:type="auto"/>
            <w:tcBorders>
              <w:top w:val="nil"/>
              <w:left w:val="nil"/>
              <w:bottom w:val="nil"/>
              <w:right w:val="double" w:sz="6" w:space="0" w:color="000000"/>
            </w:tcBorders>
            <w:shd w:val="clear" w:color="FFFFCC" w:fill="FFFF99"/>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sz w:val="14"/>
                <w:szCs w:val="16"/>
                <w:lang w:eastAsia="es-ES"/>
              </w:rPr>
            </w:pPr>
            <w:r w:rsidRPr="008D69CD">
              <w:rPr>
                <w:rFonts w:ascii="Arial" w:eastAsia="Times New Roman" w:hAnsi="Arial" w:cs="Arial"/>
                <w:b/>
                <w:bCs/>
                <w:sz w:val="14"/>
                <w:szCs w:val="16"/>
                <w:lang w:eastAsia="es-ES"/>
              </w:rPr>
              <w:t> </w:t>
            </w:r>
          </w:p>
        </w:tc>
      </w:tr>
      <w:tr w:rsidR="003315BD" w:rsidRPr="008D69CD" w:rsidTr="00301A41">
        <w:trPr>
          <w:trHeight w:val="20"/>
        </w:trPr>
        <w:tc>
          <w:tcPr>
            <w:tcW w:w="0" w:type="auto"/>
            <w:gridSpan w:val="5"/>
            <w:tcBorders>
              <w:top w:val="single" w:sz="4" w:space="0" w:color="000000"/>
              <w:left w:val="double" w:sz="6" w:space="0" w:color="000000"/>
              <w:bottom w:val="double" w:sz="6" w:space="0" w:color="000000"/>
              <w:right w:val="single" w:sz="4" w:space="0" w:color="000000"/>
            </w:tcBorders>
            <w:shd w:val="clear" w:color="auto" w:fill="auto"/>
            <w:noWrap/>
            <w:vAlign w:val="center"/>
            <w:hideMark/>
          </w:tcPr>
          <w:p w:rsidR="003315BD" w:rsidRPr="008D69CD" w:rsidRDefault="003315BD" w:rsidP="00301A41">
            <w:pPr>
              <w:suppressAutoHyphens w:val="0"/>
              <w:spacing w:after="0" w:line="240" w:lineRule="auto"/>
              <w:jc w:val="center"/>
              <w:rPr>
                <w:rFonts w:ascii="Arial" w:eastAsia="Times New Roman" w:hAnsi="Arial" w:cs="Arial"/>
                <w:b/>
                <w:bCs/>
                <w:color w:val="FF00FF"/>
                <w:sz w:val="14"/>
                <w:szCs w:val="16"/>
                <w:lang w:eastAsia="es-ES"/>
              </w:rPr>
            </w:pPr>
            <w:r w:rsidRPr="008D69CD">
              <w:rPr>
                <w:rFonts w:ascii="Arial" w:eastAsia="Times New Roman" w:hAnsi="Arial" w:cs="Arial"/>
                <w:b/>
                <w:bCs/>
                <w:color w:val="FF00FF"/>
                <w:sz w:val="14"/>
                <w:szCs w:val="16"/>
                <w:lang w:eastAsia="es-ES"/>
              </w:rPr>
              <w:t>TOTAL AREA TORRELAVEGA REINOSA</w:t>
            </w:r>
          </w:p>
        </w:tc>
        <w:tc>
          <w:tcPr>
            <w:tcW w:w="0" w:type="auto"/>
            <w:tcBorders>
              <w:top w:val="single" w:sz="4" w:space="0" w:color="000000"/>
              <w:left w:val="nil"/>
              <w:bottom w:val="double" w:sz="6" w:space="0" w:color="000000"/>
              <w:right w:val="double" w:sz="6" w:space="0" w:color="000000"/>
            </w:tcBorders>
            <w:shd w:val="clear" w:color="auto" w:fill="auto"/>
            <w:noWrap/>
            <w:vAlign w:val="bottom"/>
            <w:hideMark/>
          </w:tcPr>
          <w:p w:rsidR="003315BD" w:rsidRPr="008D69CD" w:rsidRDefault="003315BD" w:rsidP="00301A41">
            <w:pPr>
              <w:suppressAutoHyphens w:val="0"/>
              <w:spacing w:after="0" w:line="240" w:lineRule="auto"/>
              <w:jc w:val="center"/>
              <w:rPr>
                <w:rFonts w:ascii="Arial" w:eastAsia="Times New Roman" w:hAnsi="Arial" w:cs="Arial"/>
                <w:b/>
                <w:bCs/>
                <w:color w:val="FF00FF"/>
                <w:sz w:val="14"/>
                <w:szCs w:val="16"/>
                <w:lang w:eastAsia="es-ES"/>
              </w:rPr>
            </w:pPr>
            <w:r w:rsidRPr="008D69CD">
              <w:rPr>
                <w:rFonts w:ascii="Arial" w:eastAsia="Times New Roman" w:hAnsi="Arial" w:cs="Arial"/>
                <w:b/>
                <w:bCs/>
                <w:color w:val="FF00FF"/>
                <w:sz w:val="14"/>
                <w:szCs w:val="16"/>
                <w:lang w:eastAsia="es-ES"/>
              </w:rPr>
              <w:t>30.520</w:t>
            </w:r>
          </w:p>
        </w:tc>
      </w:tr>
    </w:tbl>
    <w:p w:rsidR="003315BD" w:rsidRDefault="003315BD"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4854FC" w:rsidRDefault="004854FC" w:rsidP="003315BD">
      <w:pPr>
        <w:autoSpaceDE w:val="0"/>
        <w:spacing w:after="0" w:line="240" w:lineRule="auto"/>
        <w:rPr>
          <w:rFonts w:ascii="Century Gothic" w:eastAsia="CenturyGothic" w:hAnsi="Century Gothic" w:cs="CenturyGothic"/>
          <w:b/>
          <w:bCs/>
        </w:rPr>
      </w:pPr>
    </w:p>
    <w:p w:rsidR="003315BD" w:rsidRPr="004854FC" w:rsidRDefault="00CA5A64" w:rsidP="003315BD">
      <w:pPr>
        <w:autoSpaceDE w:val="0"/>
        <w:spacing w:after="0" w:line="240" w:lineRule="auto"/>
        <w:rPr>
          <w:rFonts w:ascii="Century Gothic" w:eastAsia="CenturyGothic" w:hAnsi="Century Gothic" w:cs="CenturyGothic"/>
          <w:b/>
          <w:bCs/>
        </w:rPr>
      </w:pPr>
      <w:r>
        <w:rPr>
          <w:rFonts w:ascii="Century Gothic" w:eastAsia="CenturyGothic" w:hAnsi="Century Gothic" w:cs="CenturyGothic"/>
          <w:b/>
          <w:bCs/>
        </w:rPr>
        <w:lastRenderedPageBreak/>
        <w:t>2.</w:t>
      </w:r>
      <w:r w:rsidR="004854FC" w:rsidRPr="004854FC">
        <w:rPr>
          <w:rFonts w:ascii="Century Gothic" w:eastAsia="CenturyGothic" w:hAnsi="Century Gothic" w:cs="CenturyGothic"/>
          <w:b/>
          <w:bCs/>
        </w:rPr>
        <w:t>6.- Previsión de dosis</w:t>
      </w:r>
      <w:r w:rsidR="004854FC">
        <w:rPr>
          <w:rFonts w:ascii="Century Gothic" w:eastAsia="CenturyGothic" w:hAnsi="Century Gothic" w:cs="CenturyGothic"/>
          <w:b/>
          <w:bCs/>
        </w:rPr>
        <w:t xml:space="preserve"> totales</w:t>
      </w:r>
    </w:p>
    <w:p w:rsidR="003315BD" w:rsidRPr="003F3B93" w:rsidRDefault="003315BD" w:rsidP="003315BD">
      <w:pPr>
        <w:autoSpaceDE w:val="0"/>
        <w:spacing w:after="0" w:line="240" w:lineRule="auto"/>
        <w:rPr>
          <w:rFonts w:ascii="Century Gothic" w:eastAsia="CenturyGothic" w:hAnsi="Century Gothic" w:cs="CenturyGothic"/>
          <w:b/>
          <w:bCs/>
          <w:color w:val="FF0000"/>
        </w:rPr>
      </w:pPr>
    </w:p>
    <w:p w:rsidR="003315BD" w:rsidRPr="00657D84" w:rsidRDefault="003315BD" w:rsidP="003315BD">
      <w:pPr>
        <w:autoSpaceDE w:val="0"/>
        <w:spacing w:after="0" w:line="240" w:lineRule="auto"/>
        <w:rPr>
          <w:rFonts w:ascii="Century Gothic" w:eastAsia="CenturyGothic" w:hAnsi="Century Gothic" w:cs="CenturyGothic"/>
          <w:b/>
          <w:bCs/>
        </w:rPr>
      </w:pPr>
    </w:p>
    <w:tbl>
      <w:tblPr>
        <w:tblW w:w="0" w:type="auto"/>
        <w:jc w:val="center"/>
        <w:tblCellMar>
          <w:left w:w="70" w:type="dxa"/>
          <w:right w:w="70" w:type="dxa"/>
        </w:tblCellMar>
        <w:tblLook w:val="04A0" w:firstRow="1" w:lastRow="0" w:firstColumn="1" w:lastColumn="0" w:noHBand="0" w:noVBand="1"/>
      </w:tblPr>
      <w:tblGrid>
        <w:gridCol w:w="2521"/>
        <w:gridCol w:w="2651"/>
      </w:tblGrid>
      <w:tr w:rsidR="003315BD" w:rsidRPr="00657D84" w:rsidTr="00301A41">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bookmarkStart w:id="3" w:name="RANGE!A1:B49"/>
            <w:r w:rsidRPr="00657D84">
              <w:rPr>
                <w:rFonts w:ascii="Arial" w:eastAsia="Times New Roman" w:hAnsi="Arial" w:cs="Arial"/>
                <w:b/>
                <w:bCs/>
                <w:sz w:val="18"/>
                <w:szCs w:val="16"/>
                <w:lang w:eastAsia="es-ES"/>
              </w:rPr>
              <w:t>PREVISIÓN VACUNAS GRIPE  AFLURIA</w:t>
            </w:r>
            <w:bookmarkEnd w:id="3"/>
          </w:p>
        </w:tc>
      </w:tr>
      <w:tr w:rsidR="003315BD" w:rsidRPr="00657D84" w:rsidTr="00301A41">
        <w:trPr>
          <w:trHeight w:val="20"/>
          <w:jc w:val="center"/>
        </w:trPr>
        <w:tc>
          <w:tcPr>
            <w:tcW w:w="0" w:type="auto"/>
            <w:tcBorders>
              <w:top w:val="single" w:sz="4" w:space="0" w:color="auto"/>
              <w:left w:val="double" w:sz="6" w:space="0" w:color="000000"/>
              <w:bottom w:val="single" w:sz="4" w:space="0" w:color="000000"/>
              <w:right w:val="single" w:sz="4" w:space="0" w:color="000000"/>
            </w:tcBorders>
            <w:shd w:val="clear" w:color="auto" w:fill="auto"/>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ZONA BÁSICA</w:t>
            </w:r>
          </w:p>
        </w:tc>
        <w:tc>
          <w:tcPr>
            <w:tcW w:w="0" w:type="auto"/>
            <w:tcBorders>
              <w:top w:val="single" w:sz="4" w:space="0" w:color="auto"/>
              <w:left w:val="nil"/>
              <w:bottom w:val="single" w:sz="4" w:space="0" w:color="000000"/>
              <w:right w:val="double" w:sz="6" w:space="0" w:color="000000"/>
            </w:tcBorders>
            <w:shd w:val="clear" w:color="auto" w:fill="auto"/>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ASIGNACION TOTAL 2018-19</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ALTO PAS</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1.290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BAJO PAS</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2.190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CAMARGO INTERIOR</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2.360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CAMARGO COSTA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2.090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MARINA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2.810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CAZOÑA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1.880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ALISAL</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2.240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CENTRO</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3.190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CUDEYO</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3.920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DAVILA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4.650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EL ASTILLERO</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3.180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MARUCA</w:t>
            </w:r>
          </w:p>
        </w:tc>
        <w:tc>
          <w:tcPr>
            <w:tcW w:w="0" w:type="auto"/>
            <w:tcBorders>
              <w:top w:val="nil"/>
              <w:left w:val="nil"/>
              <w:bottom w:val="single" w:sz="4" w:space="0" w:color="000000"/>
              <w:right w:val="double" w:sz="6" w:space="0" w:color="000000"/>
            </w:tcBorders>
            <w:shd w:val="clear" w:color="FFFFCC" w:fill="FFFF99"/>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2.350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BEZANA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1.650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MIERA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1.180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PISUEÑA CAYÓN</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1.740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PISUEÑA SELAYA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1.120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PUERTOCHICO</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3.650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SARDINERO</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1.870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bottom"/>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VARGAS</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4.530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bottom"/>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NUEVA MONTAÑA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1.540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FFFFCC" w:fill="FFFF99"/>
            <w:noWrap/>
            <w:vAlign w:val="center"/>
            <w:hideMark/>
          </w:tcPr>
          <w:p w:rsidR="003315BD" w:rsidRPr="00657D84" w:rsidRDefault="003315BD" w:rsidP="00301A41">
            <w:pPr>
              <w:suppressAutoHyphens w:val="0"/>
              <w:spacing w:after="0" w:line="240" w:lineRule="auto"/>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GERENCIA</w:t>
            </w:r>
          </w:p>
        </w:tc>
        <w:tc>
          <w:tcPr>
            <w:tcW w:w="0" w:type="auto"/>
            <w:tcBorders>
              <w:top w:val="nil"/>
              <w:left w:val="nil"/>
              <w:bottom w:val="single" w:sz="4" w:space="0" w:color="000000"/>
              <w:right w:val="double" w:sz="6" w:space="0" w:color="000000"/>
            </w:tcBorders>
            <w:shd w:val="clear" w:color="FFFFCC" w:fill="FFFF99"/>
            <w:noWrap/>
            <w:vAlign w:val="center"/>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2.650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ALTAMIRA</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2.980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BUELNA</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3.250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CAMPOO</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3.870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SUANCES</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1.250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LIEBANA</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1.630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LOS VALLES</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540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NANSA</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690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POLANCO</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1.560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SAJA</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2.580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SAN VICENTE</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1.740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ZAPATON</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3.450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DOBRA</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3.080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COVADONGA</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2.180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CC"/>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TANOS</w:t>
            </w:r>
          </w:p>
        </w:tc>
        <w:tc>
          <w:tcPr>
            <w:tcW w:w="0" w:type="auto"/>
            <w:tcBorders>
              <w:top w:val="nil"/>
              <w:left w:val="nil"/>
              <w:bottom w:val="single" w:sz="4" w:space="0" w:color="000000"/>
              <w:right w:val="double" w:sz="6" w:space="0" w:color="000000"/>
            </w:tcBorders>
            <w:shd w:val="clear" w:color="CCFFFF" w:fill="CCFFCC"/>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1.720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CASTRO URDIALES NORTE</w:t>
            </w:r>
          </w:p>
        </w:tc>
        <w:tc>
          <w:tcPr>
            <w:tcW w:w="0" w:type="auto"/>
            <w:tcBorders>
              <w:top w:val="nil"/>
              <w:left w:val="nil"/>
              <w:bottom w:val="single" w:sz="4"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2.980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CASTRO URDIALES SUR</w:t>
            </w:r>
          </w:p>
        </w:tc>
        <w:tc>
          <w:tcPr>
            <w:tcW w:w="0" w:type="auto"/>
            <w:tcBorders>
              <w:top w:val="nil"/>
              <w:left w:val="nil"/>
              <w:bottom w:val="single" w:sz="4"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1.250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ALTO ASÓN</w:t>
            </w:r>
          </w:p>
        </w:tc>
        <w:tc>
          <w:tcPr>
            <w:tcW w:w="0" w:type="auto"/>
            <w:tcBorders>
              <w:top w:val="nil"/>
              <w:left w:val="nil"/>
              <w:bottom w:val="single" w:sz="4"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1.490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BAJO ASON</w:t>
            </w:r>
          </w:p>
        </w:tc>
        <w:tc>
          <w:tcPr>
            <w:tcW w:w="0" w:type="auto"/>
            <w:tcBorders>
              <w:top w:val="nil"/>
              <w:left w:val="nil"/>
              <w:bottom w:val="single" w:sz="4"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1.470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COLINDRES</w:t>
            </w:r>
          </w:p>
        </w:tc>
        <w:tc>
          <w:tcPr>
            <w:tcW w:w="0" w:type="auto"/>
            <w:tcBorders>
              <w:top w:val="nil"/>
              <w:left w:val="nil"/>
              <w:bottom w:val="single" w:sz="4"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1.800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GAMA</w:t>
            </w:r>
          </w:p>
        </w:tc>
        <w:tc>
          <w:tcPr>
            <w:tcW w:w="0" w:type="auto"/>
            <w:tcBorders>
              <w:top w:val="nil"/>
              <w:left w:val="nil"/>
              <w:bottom w:val="single" w:sz="4"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1.580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 xml:space="preserve">LAREDO </w:t>
            </w:r>
          </w:p>
        </w:tc>
        <w:tc>
          <w:tcPr>
            <w:tcW w:w="0" w:type="auto"/>
            <w:tcBorders>
              <w:top w:val="nil"/>
              <w:left w:val="nil"/>
              <w:bottom w:val="single" w:sz="4"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2.590</w:t>
            </w:r>
          </w:p>
        </w:tc>
      </w:tr>
      <w:tr w:rsidR="003315BD" w:rsidRPr="00657D84" w:rsidTr="00301A41">
        <w:trPr>
          <w:trHeight w:val="20"/>
          <w:jc w:val="center"/>
        </w:trPr>
        <w:tc>
          <w:tcPr>
            <w:tcW w:w="0" w:type="auto"/>
            <w:tcBorders>
              <w:top w:val="nil"/>
              <w:left w:val="double" w:sz="6" w:space="0" w:color="000000"/>
              <w:bottom w:val="single" w:sz="4"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MERUELO</w:t>
            </w:r>
          </w:p>
        </w:tc>
        <w:tc>
          <w:tcPr>
            <w:tcW w:w="0" w:type="auto"/>
            <w:tcBorders>
              <w:top w:val="nil"/>
              <w:left w:val="nil"/>
              <w:bottom w:val="single" w:sz="4"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1.520</w:t>
            </w:r>
          </w:p>
        </w:tc>
      </w:tr>
      <w:tr w:rsidR="003315BD" w:rsidRPr="00657D84" w:rsidTr="00301A41">
        <w:trPr>
          <w:trHeight w:val="20"/>
          <w:jc w:val="center"/>
        </w:trPr>
        <w:tc>
          <w:tcPr>
            <w:tcW w:w="0" w:type="auto"/>
            <w:tcBorders>
              <w:top w:val="nil"/>
              <w:left w:val="double" w:sz="6" w:space="0" w:color="000000"/>
              <w:bottom w:val="double" w:sz="6"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sz w:val="18"/>
                <w:szCs w:val="16"/>
                <w:lang w:eastAsia="es-ES"/>
              </w:rPr>
            </w:pPr>
            <w:r w:rsidRPr="00657D84">
              <w:rPr>
                <w:rFonts w:ascii="Arial" w:eastAsia="Times New Roman" w:hAnsi="Arial" w:cs="Arial"/>
                <w:sz w:val="18"/>
                <w:szCs w:val="16"/>
                <w:lang w:eastAsia="es-ES"/>
              </w:rPr>
              <w:t>SANTOÑA</w:t>
            </w:r>
          </w:p>
        </w:tc>
        <w:tc>
          <w:tcPr>
            <w:tcW w:w="0" w:type="auto"/>
            <w:tcBorders>
              <w:top w:val="nil"/>
              <w:left w:val="nil"/>
              <w:bottom w:val="double" w:sz="6" w:space="0" w:color="000000"/>
              <w:right w:val="double" w:sz="6" w:space="0" w:color="000000"/>
            </w:tcBorders>
            <w:shd w:val="clear" w:color="CCFFFF" w:fill="CCFFFF"/>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r w:rsidRPr="00657D84">
              <w:rPr>
                <w:rFonts w:ascii="Arial" w:eastAsia="Times New Roman" w:hAnsi="Arial" w:cs="Arial"/>
                <w:sz w:val="18"/>
                <w:szCs w:val="16"/>
                <w:lang w:eastAsia="es-ES"/>
              </w:rPr>
              <w:t>1.890</w:t>
            </w:r>
          </w:p>
        </w:tc>
      </w:tr>
      <w:tr w:rsidR="003315BD" w:rsidRPr="00657D84" w:rsidTr="00301A41">
        <w:trPr>
          <w:trHeight w:val="20"/>
          <w:jc w:val="center"/>
        </w:trPr>
        <w:tc>
          <w:tcPr>
            <w:tcW w:w="0" w:type="auto"/>
            <w:tcBorders>
              <w:top w:val="nil"/>
              <w:left w:val="nil"/>
              <w:bottom w:val="nil"/>
              <w:right w:val="nil"/>
            </w:tcBorders>
            <w:shd w:val="clear" w:color="auto" w:fill="auto"/>
            <w:noWrap/>
            <w:vAlign w:val="bottom"/>
            <w:hideMark/>
          </w:tcPr>
          <w:p w:rsidR="003315BD" w:rsidRPr="00657D84" w:rsidRDefault="003315BD" w:rsidP="00301A41">
            <w:pPr>
              <w:suppressAutoHyphens w:val="0"/>
              <w:spacing w:after="0" w:line="240" w:lineRule="auto"/>
              <w:jc w:val="center"/>
              <w:rPr>
                <w:rFonts w:ascii="Arial" w:eastAsia="Times New Roman" w:hAnsi="Arial" w:cs="Arial"/>
                <w:sz w:val="18"/>
                <w:szCs w:val="16"/>
                <w:lang w:eastAsia="es-ES"/>
              </w:rPr>
            </w:pPr>
          </w:p>
        </w:tc>
        <w:tc>
          <w:tcPr>
            <w:tcW w:w="0" w:type="auto"/>
            <w:tcBorders>
              <w:top w:val="nil"/>
              <w:left w:val="nil"/>
              <w:bottom w:val="nil"/>
              <w:right w:val="nil"/>
            </w:tcBorders>
            <w:shd w:val="clear" w:color="auto" w:fill="auto"/>
            <w:noWrap/>
            <w:vAlign w:val="bottom"/>
            <w:hideMark/>
          </w:tcPr>
          <w:p w:rsidR="003315BD" w:rsidRPr="00657D84" w:rsidRDefault="003315BD" w:rsidP="00301A41">
            <w:pPr>
              <w:suppressAutoHyphens w:val="0"/>
              <w:spacing w:after="0" w:line="240" w:lineRule="auto"/>
              <w:rPr>
                <w:rFonts w:ascii="Times New Roman" w:eastAsia="Times New Roman" w:hAnsi="Times New Roman"/>
                <w:sz w:val="18"/>
                <w:szCs w:val="16"/>
                <w:lang w:eastAsia="es-ES"/>
              </w:rPr>
            </w:pPr>
          </w:p>
        </w:tc>
      </w:tr>
      <w:tr w:rsidR="003315BD" w:rsidRPr="00657D84" w:rsidTr="00301A41">
        <w:trPr>
          <w:trHeight w:val="20"/>
          <w:jc w:val="center"/>
        </w:trPr>
        <w:tc>
          <w:tcPr>
            <w:tcW w:w="0" w:type="auto"/>
            <w:tcBorders>
              <w:top w:val="double" w:sz="6" w:space="0" w:color="000000"/>
              <w:left w:val="double" w:sz="6" w:space="0" w:color="000000"/>
              <w:bottom w:val="double" w:sz="6" w:space="0" w:color="000000"/>
              <w:right w:val="single" w:sz="4" w:space="0" w:color="000000"/>
            </w:tcBorders>
            <w:shd w:val="clear" w:color="CCFFFF" w:fill="CCFFFF"/>
            <w:noWrap/>
            <w:vAlign w:val="center"/>
            <w:hideMark/>
          </w:tcPr>
          <w:p w:rsidR="003315BD" w:rsidRPr="00657D84" w:rsidRDefault="003315BD" w:rsidP="00301A41">
            <w:pPr>
              <w:suppressAutoHyphens w:val="0"/>
              <w:spacing w:after="0" w:line="240" w:lineRule="auto"/>
              <w:jc w:val="both"/>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TOTAL</w:t>
            </w:r>
          </w:p>
        </w:tc>
        <w:tc>
          <w:tcPr>
            <w:tcW w:w="0" w:type="auto"/>
            <w:tcBorders>
              <w:top w:val="double" w:sz="6" w:space="0" w:color="000000"/>
              <w:left w:val="nil"/>
              <w:bottom w:val="double" w:sz="6" w:space="0" w:color="000000"/>
              <w:right w:val="double" w:sz="6" w:space="0" w:color="000000"/>
            </w:tcBorders>
            <w:shd w:val="clear" w:color="CCFFFF" w:fill="CCFFFF"/>
            <w:noWrap/>
            <w:vAlign w:val="center"/>
            <w:hideMark/>
          </w:tcPr>
          <w:p w:rsidR="003315BD" w:rsidRPr="00657D84" w:rsidRDefault="003315BD" w:rsidP="00301A41">
            <w:pPr>
              <w:suppressAutoHyphens w:val="0"/>
              <w:spacing w:after="0" w:line="240" w:lineRule="auto"/>
              <w:jc w:val="center"/>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102.850</w:t>
            </w:r>
          </w:p>
        </w:tc>
      </w:tr>
      <w:tr w:rsidR="003315BD" w:rsidRPr="00657D84" w:rsidTr="00301A41">
        <w:trPr>
          <w:trHeight w:val="20"/>
          <w:jc w:val="center"/>
        </w:trPr>
        <w:tc>
          <w:tcPr>
            <w:tcW w:w="0" w:type="auto"/>
            <w:tcBorders>
              <w:top w:val="double" w:sz="6" w:space="0" w:color="000000"/>
              <w:left w:val="double" w:sz="6" w:space="0" w:color="000000"/>
              <w:bottom w:val="double" w:sz="6" w:space="0" w:color="000000"/>
              <w:right w:val="single" w:sz="4" w:space="0" w:color="000000"/>
            </w:tcBorders>
            <w:shd w:val="clear" w:color="CCFFFF" w:fill="CCFFFF"/>
            <w:noWrap/>
            <w:vAlign w:val="center"/>
          </w:tcPr>
          <w:p w:rsidR="003315BD" w:rsidRPr="00657D84" w:rsidRDefault="003315BD" w:rsidP="00301A41">
            <w:pPr>
              <w:suppressAutoHyphens w:val="0"/>
              <w:spacing w:after="0" w:line="240" w:lineRule="auto"/>
              <w:jc w:val="both"/>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REMANENTE LAB</w:t>
            </w:r>
          </w:p>
        </w:tc>
        <w:tc>
          <w:tcPr>
            <w:tcW w:w="0" w:type="auto"/>
            <w:tcBorders>
              <w:top w:val="double" w:sz="6" w:space="0" w:color="000000"/>
              <w:left w:val="nil"/>
              <w:bottom w:val="double" w:sz="6" w:space="0" w:color="000000"/>
              <w:right w:val="double" w:sz="6" w:space="0" w:color="000000"/>
            </w:tcBorders>
            <w:shd w:val="clear" w:color="CCFFFF" w:fill="CCFFFF"/>
            <w:noWrap/>
            <w:vAlign w:val="center"/>
          </w:tcPr>
          <w:p w:rsidR="003315BD" w:rsidRPr="00657D84" w:rsidRDefault="003315BD" w:rsidP="00301A41">
            <w:pPr>
              <w:suppressAutoHyphens w:val="0"/>
              <w:spacing w:after="0" w:line="240" w:lineRule="auto"/>
              <w:jc w:val="center"/>
              <w:rPr>
                <w:rFonts w:ascii="Arial" w:eastAsia="Times New Roman" w:hAnsi="Arial" w:cs="Arial"/>
                <w:b/>
                <w:bCs/>
                <w:sz w:val="18"/>
                <w:szCs w:val="16"/>
                <w:lang w:eastAsia="es-ES"/>
              </w:rPr>
            </w:pPr>
            <w:r w:rsidRPr="00657D84">
              <w:rPr>
                <w:rFonts w:ascii="Arial" w:eastAsia="Times New Roman" w:hAnsi="Arial" w:cs="Arial"/>
                <w:b/>
                <w:bCs/>
                <w:sz w:val="18"/>
                <w:szCs w:val="16"/>
                <w:lang w:eastAsia="es-ES"/>
              </w:rPr>
              <w:t>3.680</w:t>
            </w:r>
          </w:p>
        </w:tc>
      </w:tr>
    </w:tbl>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rsidP="003315BD">
      <w:pPr>
        <w:autoSpaceDE w:val="0"/>
        <w:spacing w:after="0" w:line="240" w:lineRule="auto"/>
        <w:rPr>
          <w:rFonts w:ascii="Century Gothic" w:eastAsia="CenturyGothic" w:hAnsi="Century Gothic" w:cs="CenturyGothic"/>
          <w:b/>
          <w:bCs/>
        </w:rPr>
      </w:pPr>
    </w:p>
    <w:tbl>
      <w:tblPr>
        <w:tblW w:w="0" w:type="auto"/>
        <w:jc w:val="center"/>
        <w:tblCellMar>
          <w:left w:w="70" w:type="dxa"/>
          <w:right w:w="70" w:type="dxa"/>
        </w:tblCellMar>
        <w:tblLook w:val="04A0" w:firstRow="1" w:lastRow="0" w:firstColumn="1" w:lastColumn="0" w:noHBand="0" w:noVBand="1"/>
      </w:tblPr>
      <w:tblGrid>
        <w:gridCol w:w="2661"/>
        <w:gridCol w:w="1958"/>
      </w:tblGrid>
      <w:tr w:rsidR="003315BD" w:rsidRPr="003F3B93" w:rsidTr="00301A41">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5BD" w:rsidRPr="004854FC" w:rsidRDefault="003315BD" w:rsidP="00301A41">
            <w:pPr>
              <w:suppressAutoHyphens w:val="0"/>
              <w:spacing w:after="0" w:line="240" w:lineRule="auto"/>
              <w:rPr>
                <w:rFonts w:ascii="Arial" w:eastAsia="Times New Roman" w:hAnsi="Arial" w:cs="Arial"/>
                <w:b/>
                <w:bCs/>
                <w:sz w:val="20"/>
                <w:szCs w:val="16"/>
                <w:lang w:eastAsia="es-ES"/>
              </w:rPr>
            </w:pPr>
            <w:r w:rsidRPr="004854FC">
              <w:rPr>
                <w:rFonts w:ascii="Arial" w:eastAsia="Times New Roman" w:hAnsi="Arial" w:cs="Arial"/>
                <w:b/>
                <w:bCs/>
                <w:sz w:val="20"/>
                <w:szCs w:val="16"/>
                <w:lang w:eastAsia="es-ES"/>
              </w:rPr>
              <w:t>PREVISIÓN VACUNAS CHIROFLU - PEDIATRIA</w:t>
            </w:r>
          </w:p>
        </w:tc>
      </w:tr>
      <w:tr w:rsidR="003315BD" w:rsidRPr="003F3B93" w:rsidTr="00301A41">
        <w:trPr>
          <w:trHeight w:val="20"/>
          <w:jc w:val="center"/>
        </w:trPr>
        <w:tc>
          <w:tcPr>
            <w:tcW w:w="0" w:type="auto"/>
            <w:tcBorders>
              <w:top w:val="single" w:sz="4" w:space="0" w:color="auto"/>
              <w:left w:val="nil"/>
              <w:bottom w:val="nil"/>
              <w:right w:val="nil"/>
            </w:tcBorders>
            <w:shd w:val="clear" w:color="auto" w:fill="auto"/>
            <w:noWrap/>
            <w:vAlign w:val="bottom"/>
            <w:hideMark/>
          </w:tcPr>
          <w:p w:rsidR="003315BD" w:rsidRPr="004854FC" w:rsidRDefault="003315BD" w:rsidP="00301A41">
            <w:pPr>
              <w:suppressAutoHyphens w:val="0"/>
              <w:spacing w:after="0" w:line="240" w:lineRule="auto"/>
              <w:rPr>
                <w:rFonts w:ascii="Arial" w:eastAsia="Times New Roman" w:hAnsi="Arial" w:cs="Arial"/>
                <w:b/>
                <w:bCs/>
                <w:sz w:val="20"/>
                <w:szCs w:val="16"/>
                <w:lang w:eastAsia="es-ES"/>
              </w:rPr>
            </w:pPr>
          </w:p>
        </w:tc>
        <w:tc>
          <w:tcPr>
            <w:tcW w:w="0" w:type="auto"/>
            <w:tcBorders>
              <w:top w:val="single" w:sz="4" w:space="0" w:color="auto"/>
              <w:left w:val="nil"/>
              <w:bottom w:val="nil"/>
              <w:right w:val="nil"/>
            </w:tcBorders>
            <w:shd w:val="clear" w:color="auto" w:fill="auto"/>
            <w:noWrap/>
            <w:vAlign w:val="bottom"/>
            <w:hideMark/>
          </w:tcPr>
          <w:p w:rsidR="003315BD" w:rsidRPr="004854FC" w:rsidRDefault="003315BD" w:rsidP="00301A41">
            <w:pPr>
              <w:suppressAutoHyphens w:val="0"/>
              <w:spacing w:after="0" w:line="240" w:lineRule="auto"/>
              <w:rPr>
                <w:rFonts w:ascii="Times New Roman" w:eastAsia="Times New Roman" w:hAnsi="Times New Roman"/>
                <w:sz w:val="20"/>
                <w:szCs w:val="16"/>
                <w:lang w:eastAsia="es-ES"/>
              </w:rPr>
            </w:pPr>
          </w:p>
        </w:tc>
      </w:tr>
      <w:tr w:rsidR="003315BD" w:rsidRPr="003F3B93" w:rsidTr="00301A41">
        <w:trPr>
          <w:trHeight w:val="20"/>
          <w:jc w:val="center"/>
        </w:trPr>
        <w:tc>
          <w:tcPr>
            <w:tcW w:w="0" w:type="auto"/>
            <w:tcBorders>
              <w:top w:val="double" w:sz="6" w:space="0" w:color="3F3F3F"/>
              <w:left w:val="double" w:sz="6" w:space="0" w:color="3F3F3F"/>
              <w:bottom w:val="double" w:sz="6" w:space="0" w:color="3F3F3F"/>
              <w:right w:val="double" w:sz="6" w:space="0" w:color="3F3F3F"/>
            </w:tcBorders>
            <w:shd w:val="clear" w:color="000000" w:fill="C6EFCE"/>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CENTRO DE SALUD</w:t>
            </w:r>
          </w:p>
        </w:tc>
        <w:tc>
          <w:tcPr>
            <w:tcW w:w="0" w:type="auto"/>
            <w:tcBorders>
              <w:top w:val="double" w:sz="6" w:space="0" w:color="3F3F3F"/>
              <w:left w:val="nil"/>
              <w:bottom w:val="double" w:sz="6" w:space="0" w:color="3F3F3F"/>
              <w:right w:val="double" w:sz="6" w:space="0" w:color="3F3F3F"/>
            </w:tcBorders>
            <w:shd w:val="clear" w:color="000000" w:fill="C6EFCE"/>
            <w:noWrap/>
            <w:vAlign w:val="center"/>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DOSIS CHIROFLU</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LA BARRERA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70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RAMALES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ONTANEDA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AMPUERO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30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RENEDO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210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JOSE BARROS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140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CAZOÑA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20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ISABEL II</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60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COLINDRES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50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CUDEYO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130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DR. MORANTE</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100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EL ASTILLERO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220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GAMA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20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LAREDO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110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BEZANA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150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MERUELO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80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LIERGANES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20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SARON</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60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SELAYA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30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MARINA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90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PUERTOCHICO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150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SANTOÑA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110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SARDINERO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130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VARGAS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70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LOS CASTROS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150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EL ALISAL</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160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CAMARGO COSTA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COTOLINO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150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LA MONTAÑA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60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PUENTE SAN MIGU</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70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LOS CORRALES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150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SUANCES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50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POTES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20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PUENTENANSA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POLANCO</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190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CABEZON DE LA 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120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SAN VICENTE</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ZAPATON</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150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DOBRA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220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COVADONGA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120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TANOS</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180</w:t>
            </w:r>
          </w:p>
        </w:tc>
      </w:tr>
      <w:tr w:rsidR="003315BD" w:rsidRPr="003F3B93" w:rsidTr="00301A41">
        <w:trPr>
          <w:trHeight w:val="20"/>
          <w:jc w:val="center"/>
        </w:trPr>
        <w:tc>
          <w:tcPr>
            <w:tcW w:w="0" w:type="auto"/>
            <w:tcBorders>
              <w:top w:val="nil"/>
              <w:left w:val="double" w:sz="6" w:space="0" w:color="3F3F3F"/>
              <w:bottom w:val="double" w:sz="6" w:space="0" w:color="3F3F3F"/>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REINOSA</w:t>
            </w:r>
          </w:p>
        </w:tc>
        <w:tc>
          <w:tcPr>
            <w:tcW w:w="0" w:type="auto"/>
            <w:tcBorders>
              <w:top w:val="nil"/>
              <w:left w:val="nil"/>
              <w:bottom w:val="double" w:sz="6" w:space="0" w:color="3F3F3F"/>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130</w:t>
            </w:r>
          </w:p>
        </w:tc>
      </w:tr>
      <w:tr w:rsidR="003315BD" w:rsidRPr="003F3B93" w:rsidTr="00301A41">
        <w:trPr>
          <w:trHeight w:val="20"/>
          <w:jc w:val="center"/>
        </w:trPr>
        <w:tc>
          <w:tcPr>
            <w:tcW w:w="0" w:type="auto"/>
            <w:tcBorders>
              <w:top w:val="nil"/>
              <w:left w:val="double" w:sz="6" w:space="0" w:color="3F3F3F"/>
              <w:bottom w:val="single" w:sz="4" w:space="0" w:color="auto"/>
              <w:right w:val="double" w:sz="6" w:space="0" w:color="3F3F3F"/>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C.S. LOS VALLES</w:t>
            </w:r>
          </w:p>
        </w:tc>
        <w:tc>
          <w:tcPr>
            <w:tcW w:w="0" w:type="auto"/>
            <w:tcBorders>
              <w:top w:val="nil"/>
              <w:left w:val="nil"/>
              <w:bottom w:val="single" w:sz="4" w:space="0" w:color="auto"/>
              <w:right w:val="double" w:sz="6" w:space="0" w:color="3F3F3F"/>
            </w:tcBorders>
            <w:shd w:val="clear" w:color="000000" w:fill="FFFFFF"/>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10</w:t>
            </w:r>
          </w:p>
        </w:tc>
      </w:tr>
      <w:tr w:rsidR="003315BD" w:rsidRPr="003F3B93" w:rsidTr="00301A4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Total Centros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5BD" w:rsidRPr="004854FC" w:rsidRDefault="003315BD" w:rsidP="00301A41">
            <w:pPr>
              <w:suppressAutoHyphens w:val="0"/>
              <w:spacing w:after="0" w:line="240" w:lineRule="auto"/>
              <w:jc w:val="center"/>
              <w:rPr>
                <w:rFonts w:eastAsia="Times New Roman" w:cs="Calibri"/>
                <w:sz w:val="20"/>
                <w:szCs w:val="16"/>
                <w:lang w:eastAsia="es-ES"/>
              </w:rPr>
            </w:pPr>
            <w:r w:rsidRPr="004854FC">
              <w:rPr>
                <w:rFonts w:eastAsia="Times New Roman" w:cs="Calibri"/>
                <w:sz w:val="20"/>
                <w:szCs w:val="16"/>
                <w:lang w:eastAsia="es-ES"/>
              </w:rPr>
              <w:t>4030</w:t>
            </w:r>
          </w:p>
        </w:tc>
      </w:tr>
      <w:tr w:rsidR="003315BD" w:rsidRPr="003F3B93" w:rsidTr="00301A4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15BD" w:rsidRPr="004854FC" w:rsidRDefault="003315BD" w:rsidP="00301A41">
            <w:pPr>
              <w:suppressAutoHyphens w:val="0"/>
              <w:spacing w:after="0" w:line="240" w:lineRule="auto"/>
              <w:rPr>
                <w:rFonts w:eastAsia="Times New Roman" w:cs="Calibri"/>
                <w:sz w:val="20"/>
                <w:szCs w:val="16"/>
                <w:lang w:eastAsia="es-ES"/>
              </w:rPr>
            </w:pPr>
            <w:r w:rsidRPr="004854FC">
              <w:rPr>
                <w:rFonts w:eastAsia="Times New Roman" w:cs="Calibri"/>
                <w:sz w:val="20"/>
                <w:szCs w:val="16"/>
                <w:lang w:eastAsia="es-ES"/>
              </w:rPr>
              <w:t>CONSEJERIA SANTDAD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5BD" w:rsidRPr="004854FC" w:rsidRDefault="003315BD" w:rsidP="00301A41">
            <w:pPr>
              <w:suppressAutoHyphens w:val="0"/>
              <w:spacing w:after="0" w:line="240" w:lineRule="auto"/>
              <w:jc w:val="center"/>
              <w:rPr>
                <w:rFonts w:ascii="Arial" w:eastAsia="Times New Roman" w:hAnsi="Arial" w:cs="Arial"/>
                <w:sz w:val="20"/>
                <w:szCs w:val="16"/>
                <w:lang w:eastAsia="es-ES"/>
              </w:rPr>
            </w:pPr>
            <w:r w:rsidRPr="004854FC">
              <w:rPr>
                <w:rFonts w:ascii="Arial" w:eastAsia="Times New Roman" w:hAnsi="Arial" w:cs="Arial"/>
                <w:sz w:val="20"/>
                <w:szCs w:val="16"/>
                <w:lang w:eastAsia="es-ES"/>
              </w:rPr>
              <w:t>170</w:t>
            </w:r>
          </w:p>
        </w:tc>
      </w:tr>
      <w:tr w:rsidR="003315BD" w:rsidRPr="003F3B93" w:rsidTr="00301A4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5BD" w:rsidRPr="004854FC" w:rsidRDefault="003315BD" w:rsidP="00301A41">
            <w:pPr>
              <w:suppressAutoHyphens w:val="0"/>
              <w:spacing w:after="0" w:line="240" w:lineRule="auto"/>
              <w:jc w:val="center"/>
              <w:rPr>
                <w:rFonts w:ascii="Arial" w:eastAsia="Times New Roman" w:hAnsi="Arial" w:cs="Arial"/>
                <w:sz w:val="20"/>
                <w:szCs w:val="16"/>
                <w:lang w:eastAsia="es-ES"/>
              </w:rPr>
            </w:pPr>
            <w:r w:rsidRPr="004854FC">
              <w:rPr>
                <w:rFonts w:ascii="Arial" w:eastAsia="Times New Roman" w:hAnsi="Arial" w:cs="Arial"/>
                <w:sz w:val="20"/>
                <w:szCs w:val="16"/>
                <w:lang w:eastAsia="es-ES"/>
              </w:rPr>
              <w:t>TOTAL DOSIS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5BD" w:rsidRPr="004854FC" w:rsidRDefault="003315BD" w:rsidP="00301A41">
            <w:pPr>
              <w:suppressAutoHyphens w:val="0"/>
              <w:spacing w:after="0" w:line="240" w:lineRule="auto"/>
              <w:jc w:val="center"/>
              <w:rPr>
                <w:rFonts w:ascii="Arial" w:eastAsia="Times New Roman" w:hAnsi="Arial" w:cs="Arial"/>
                <w:sz w:val="20"/>
                <w:szCs w:val="16"/>
                <w:lang w:eastAsia="es-ES"/>
              </w:rPr>
            </w:pPr>
            <w:r w:rsidRPr="004854FC">
              <w:rPr>
                <w:rFonts w:ascii="Arial" w:eastAsia="Times New Roman" w:hAnsi="Arial" w:cs="Arial"/>
                <w:sz w:val="20"/>
                <w:szCs w:val="16"/>
                <w:lang w:eastAsia="es-ES"/>
              </w:rPr>
              <w:t>4200</w:t>
            </w:r>
          </w:p>
        </w:tc>
      </w:tr>
    </w:tbl>
    <w:p w:rsidR="003315BD" w:rsidRPr="003F3B93" w:rsidRDefault="003315BD" w:rsidP="003315BD">
      <w:pPr>
        <w:autoSpaceDE w:val="0"/>
        <w:spacing w:after="0" w:line="240" w:lineRule="auto"/>
        <w:rPr>
          <w:rFonts w:ascii="Century Gothic" w:eastAsia="CenturyGothic" w:hAnsi="Century Gothic" w:cs="CenturyGothic"/>
          <w:b/>
          <w:bCs/>
          <w:color w:val="FF0000"/>
        </w:rPr>
      </w:pPr>
    </w:p>
    <w:tbl>
      <w:tblPr>
        <w:tblW w:w="0" w:type="auto"/>
        <w:jc w:val="center"/>
        <w:tblCellMar>
          <w:left w:w="70" w:type="dxa"/>
          <w:right w:w="70" w:type="dxa"/>
        </w:tblCellMar>
        <w:tblLook w:val="04A0" w:firstRow="1" w:lastRow="0" w:firstColumn="1" w:lastColumn="0" w:noHBand="0" w:noVBand="1"/>
      </w:tblPr>
      <w:tblGrid>
        <w:gridCol w:w="2410"/>
        <w:gridCol w:w="2268"/>
        <w:gridCol w:w="1250"/>
        <w:gridCol w:w="160"/>
        <w:gridCol w:w="491"/>
      </w:tblGrid>
      <w:tr w:rsidR="004854FC" w:rsidRPr="004854FC" w:rsidTr="004854FC">
        <w:trPr>
          <w:trHeight w:val="20"/>
          <w:jc w:val="center"/>
        </w:trPr>
        <w:tc>
          <w:tcPr>
            <w:tcW w:w="4678" w:type="dxa"/>
            <w:gridSpan w:val="2"/>
            <w:tcBorders>
              <w:top w:val="nil"/>
              <w:left w:val="nil"/>
              <w:bottom w:val="nil"/>
              <w:right w:val="nil"/>
            </w:tcBorders>
            <w:shd w:val="clear" w:color="auto" w:fill="auto"/>
            <w:vAlign w:val="center"/>
            <w:hideMark/>
          </w:tcPr>
          <w:p w:rsidR="003315BD" w:rsidRPr="004854FC" w:rsidRDefault="003315BD" w:rsidP="00301A41">
            <w:pPr>
              <w:suppressAutoHyphens w:val="0"/>
              <w:spacing w:after="0" w:line="240" w:lineRule="auto"/>
              <w:jc w:val="center"/>
              <w:rPr>
                <w:rFonts w:eastAsia="Times New Roman" w:cs="Calibri"/>
                <w:b/>
                <w:bCs/>
                <w:sz w:val="14"/>
                <w:szCs w:val="16"/>
                <w:lang w:eastAsia="es-ES"/>
              </w:rPr>
            </w:pPr>
            <w:r w:rsidRPr="004854FC">
              <w:rPr>
                <w:rFonts w:eastAsia="Times New Roman" w:cs="Calibri"/>
                <w:b/>
                <w:bCs/>
                <w:sz w:val="14"/>
                <w:szCs w:val="16"/>
                <w:lang w:eastAsia="es-ES"/>
              </w:rPr>
              <w:lastRenderedPageBreak/>
              <w:t>PREVISIÓN VACUNAS PACIENTES CENTROS SOCIALES ASISTENCIA SANITARIA 2018-2019</w:t>
            </w:r>
          </w:p>
        </w:tc>
        <w:tc>
          <w:tcPr>
            <w:tcW w:w="1701" w:type="dxa"/>
            <w:gridSpan w:val="3"/>
            <w:tcBorders>
              <w:top w:val="nil"/>
              <w:left w:val="nil"/>
              <w:bottom w:val="nil"/>
              <w:right w:val="nil"/>
            </w:tcBorders>
            <w:shd w:val="clear" w:color="000000" w:fill="DAEEF3"/>
            <w:noWrap/>
            <w:vAlign w:val="bottom"/>
            <w:hideMark/>
          </w:tcPr>
          <w:p w:rsidR="003315BD" w:rsidRPr="004854FC" w:rsidRDefault="003315BD" w:rsidP="00301A41">
            <w:pPr>
              <w:suppressAutoHyphens w:val="0"/>
              <w:spacing w:after="0" w:line="240" w:lineRule="auto"/>
              <w:rPr>
                <w:rFonts w:ascii="Arial" w:eastAsia="Times New Roman" w:hAnsi="Arial" w:cs="Arial"/>
                <w:sz w:val="14"/>
                <w:szCs w:val="16"/>
                <w:lang w:eastAsia="es-ES"/>
              </w:rPr>
            </w:pPr>
            <w:r w:rsidRPr="004854FC">
              <w:rPr>
                <w:rFonts w:ascii="Arial" w:eastAsia="Times New Roman" w:hAnsi="Arial" w:cs="Arial"/>
                <w:sz w:val="14"/>
                <w:szCs w:val="16"/>
                <w:lang w:eastAsia="es-ES"/>
              </w:rPr>
              <w:t> </w:t>
            </w:r>
          </w:p>
        </w:tc>
      </w:tr>
      <w:tr w:rsidR="004854FC" w:rsidRPr="004854FC" w:rsidTr="004854FC">
        <w:trPr>
          <w:trHeight w:val="20"/>
          <w:jc w:val="center"/>
        </w:trPr>
        <w:tc>
          <w:tcPr>
            <w:tcW w:w="2410" w:type="dxa"/>
            <w:tcBorders>
              <w:top w:val="single" w:sz="4" w:space="0" w:color="000000"/>
              <w:left w:val="nil"/>
              <w:bottom w:val="single" w:sz="4" w:space="0" w:color="000000"/>
              <w:right w:val="single" w:sz="4" w:space="0" w:color="000000"/>
            </w:tcBorders>
            <w:shd w:val="clear" w:color="CCCCFF" w:fill="C0C0C0"/>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NOMBRE</w:t>
            </w:r>
          </w:p>
        </w:tc>
        <w:tc>
          <w:tcPr>
            <w:tcW w:w="2268" w:type="dxa"/>
            <w:tcBorders>
              <w:top w:val="single" w:sz="4" w:space="0" w:color="000000"/>
              <w:left w:val="nil"/>
              <w:bottom w:val="single" w:sz="4" w:space="0" w:color="000000"/>
              <w:right w:val="single" w:sz="4" w:space="0" w:color="000000"/>
            </w:tcBorders>
            <w:shd w:val="clear" w:color="CCCCFF" w:fill="C0C0C0"/>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ZONA_BASICA_SALUD</w:t>
            </w:r>
          </w:p>
        </w:tc>
        <w:tc>
          <w:tcPr>
            <w:tcW w:w="1701" w:type="dxa"/>
            <w:gridSpan w:val="3"/>
            <w:tcBorders>
              <w:top w:val="single" w:sz="4" w:space="0" w:color="000000"/>
              <w:left w:val="nil"/>
              <w:bottom w:val="single" w:sz="4" w:space="0" w:color="000000"/>
              <w:right w:val="single" w:sz="4" w:space="0" w:color="000000"/>
            </w:tcBorders>
            <w:shd w:val="clear" w:color="CCCCFF" w:fill="DAEEF3"/>
            <w:noWrap/>
            <w:vAlign w:val="bottom"/>
            <w:hideMark/>
          </w:tcPr>
          <w:p w:rsidR="003315BD" w:rsidRPr="004854FC" w:rsidRDefault="00657D84"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NºDOSIS CHIROMAS</w:t>
            </w:r>
          </w:p>
        </w:tc>
      </w:tr>
      <w:tr w:rsidR="004854FC" w:rsidRPr="004854FC" w:rsidTr="004854FC">
        <w:trPr>
          <w:trHeight w:val="20"/>
          <w:jc w:val="center"/>
        </w:trPr>
        <w:tc>
          <w:tcPr>
            <w:tcW w:w="241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ALBORADA</w:t>
            </w:r>
          </w:p>
        </w:tc>
        <w:tc>
          <w:tcPr>
            <w:tcW w:w="2268" w:type="dxa"/>
            <w:tcBorders>
              <w:top w:val="single" w:sz="4" w:space="0" w:color="C0C0C0"/>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DOBRA</w:t>
            </w:r>
          </w:p>
        </w:tc>
        <w:tc>
          <w:tcPr>
            <w:tcW w:w="1701" w:type="dxa"/>
            <w:gridSpan w:val="3"/>
            <w:tcBorders>
              <w:top w:val="single" w:sz="4" w:space="0" w:color="C0C0C0"/>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ALONDRAS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CAMARGO COSTA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ANGELICAS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CENTRO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70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ANJANAS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BESAYA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50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ARBOLEDA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POLANCO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ASILO SAN JOSE</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ZAPATON</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350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BALLESOL</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BESAYA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80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BIMBILES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BEZANA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50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C.A.D. SANTANDER-CUETO</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SARDINERO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C.A.D. SIERRALLANA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DOBRA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110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CAD  DE LAREDO</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LAREDO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CAD SANTA EULALIA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CAMPOO-LOS VALLES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60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CADMASA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BESAYA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90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CARIDAD LA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VARGAS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270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CASONA DE TAGLE- CIGUENZA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ALTAMIRA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CUMBRES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ASTILLERO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 xml:space="preserve">ECOPLAR </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CAMARGO COSTA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190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EL PILAR</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BAJO ASON</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ENCINA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CAMARGO COSTA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ESCLAVAS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PUERTO CHICO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ESTANQUE</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ALTAMIRA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FELIX DE LAS CUEVAS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LIEBANA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90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FUENTE VENTURA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VICENTE</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HIJOS DE MAR</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CAMARGO INTERIOR</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50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LA GLORIA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BEZANA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140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LA HOZ</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MERUELO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40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LA LOMA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COTOLINO  II</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180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LAS MAGNOLIAS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GAMA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LIERGANES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MIERA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LIMPIAS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BAJO ASON</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50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LUSANZ</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CAMPOO-LOS VALLES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100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MADERNIA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BESAYA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90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MADRAZO- SANITAS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PUERTO CHICO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MARIA DA LUZ</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GAMA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MEDINACELI</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BEZANA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MUNICIPAL DE CASTRO URDIALES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AGÜERA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90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NUESTRA SEÑORA DEL CARMEN</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VICENTE</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90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OBRA SAN MARTIN</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SARDINERO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PADRE MENNI</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SARDINERO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380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PUENTE VIESGO</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BAJO PAS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QUIJAS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ALTAMIRA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60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REMEDIOS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ASTILLERO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ROBLES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BEZANA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SAGRADA FAMILIA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SAJA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140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CANDIDO</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CAZOÑA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230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CIPRIANO</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BEZANA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90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FRANCISCO I</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CAMPOO-LOS VALLES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150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FRANCISCO II</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CAMPOO-LOS VALLES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70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JOSE- MIXTA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PISUEÑA-SELAYA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80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PEDRO</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ASTILLERO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80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ROQUE</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BEZANA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SANTA  ANA TERAN</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SAJA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60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SANTA ANA DE SANTOÑA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SANTOÑA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180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SANTA LUCIA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EL ALISAL</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170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SANTA Mª SOLEDAD</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PUERTO CHICO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STELLA MARIS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CENTRO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100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VALDALIGA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ROIZ</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60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VALLE DE TORANZO</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ALTO PAS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VEGA DE PAS</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ALTO PAS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50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VILLA CICERO S.L.</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GAMA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60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VIRGEN DE LA BARQUERA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 VICENTE</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60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VIRGEN DE LA SALUD</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NANSA</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60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VIRGEN DE LA VELILLA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CAMPOO-LOS VALLES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30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VIRGEN DE VALENCIA</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BAJO PAS</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100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VIRGEN DEL FARO</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SARDINERO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160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VIRGEN DEL MAR</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EL ALISAL</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VIRGEN DEL PILAR</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PISUEÑA-CAYON</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120</w:t>
            </w:r>
          </w:p>
        </w:tc>
      </w:tr>
      <w:tr w:rsidR="004854FC" w:rsidRPr="004854FC" w:rsidTr="004854FC">
        <w:trPr>
          <w:trHeight w:val="20"/>
          <w:jc w:val="center"/>
        </w:trPr>
        <w:tc>
          <w:tcPr>
            <w:tcW w:w="2410" w:type="dxa"/>
            <w:tcBorders>
              <w:top w:val="nil"/>
              <w:left w:val="single" w:sz="4" w:space="0" w:color="C0C0C0"/>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VITALITAS SAN JOSE</w:t>
            </w:r>
          </w:p>
        </w:tc>
        <w:tc>
          <w:tcPr>
            <w:tcW w:w="2268" w:type="dxa"/>
            <w:tcBorders>
              <w:top w:val="nil"/>
              <w:left w:val="nil"/>
              <w:bottom w:val="single" w:sz="4" w:space="0" w:color="C0C0C0"/>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ASTILLERO</w:t>
            </w:r>
          </w:p>
        </w:tc>
        <w:tc>
          <w:tcPr>
            <w:tcW w:w="1701" w:type="dxa"/>
            <w:gridSpan w:val="3"/>
            <w:tcBorders>
              <w:top w:val="nil"/>
              <w:left w:val="nil"/>
              <w:bottom w:val="single" w:sz="4" w:space="0" w:color="C0C0C0"/>
              <w:right w:val="single" w:sz="4" w:space="0" w:color="C0C0C0"/>
            </w:tcBorders>
            <w:shd w:val="clear" w:color="000000" w:fill="DAEEF3"/>
            <w:noWrap/>
            <w:vAlign w:val="bottom"/>
            <w:hideMark/>
          </w:tcPr>
          <w:p w:rsidR="003315BD" w:rsidRPr="004854FC" w:rsidRDefault="003315BD" w:rsidP="00301A41">
            <w:pPr>
              <w:suppressAutoHyphens w:val="0"/>
              <w:spacing w:after="0" w:line="240" w:lineRule="auto"/>
              <w:jc w:val="center"/>
              <w:rPr>
                <w:rFonts w:eastAsia="Times New Roman" w:cs="Calibri"/>
                <w:sz w:val="14"/>
                <w:szCs w:val="16"/>
                <w:lang w:eastAsia="es-ES"/>
              </w:rPr>
            </w:pPr>
            <w:r w:rsidRPr="004854FC">
              <w:rPr>
                <w:rFonts w:eastAsia="Times New Roman" w:cs="Calibri"/>
                <w:sz w:val="14"/>
                <w:szCs w:val="16"/>
                <w:lang w:eastAsia="es-ES"/>
              </w:rPr>
              <w:t>160</w:t>
            </w:r>
          </w:p>
        </w:tc>
      </w:tr>
      <w:tr w:rsidR="004854FC" w:rsidRPr="004854FC" w:rsidTr="004854FC">
        <w:trPr>
          <w:trHeight w:val="20"/>
          <w:jc w:val="center"/>
        </w:trPr>
        <w:tc>
          <w:tcPr>
            <w:tcW w:w="2410" w:type="dxa"/>
            <w:tcBorders>
              <w:top w:val="single" w:sz="4" w:space="0" w:color="C0C0C0"/>
              <w:left w:val="single" w:sz="4" w:space="0" w:color="C0C0C0"/>
              <w:bottom w:val="single" w:sz="4" w:space="0" w:color="auto"/>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HOSPITAL STA CLOTILDE</w:t>
            </w:r>
          </w:p>
        </w:tc>
        <w:tc>
          <w:tcPr>
            <w:tcW w:w="2268" w:type="dxa"/>
            <w:tcBorders>
              <w:top w:val="single" w:sz="4" w:space="0" w:color="C0C0C0"/>
              <w:left w:val="nil"/>
              <w:bottom w:val="single" w:sz="4" w:space="0" w:color="auto"/>
              <w:right w:val="single" w:sz="4" w:space="0" w:color="C0C0C0"/>
            </w:tcBorders>
            <w:shd w:val="clear" w:color="auto" w:fill="auto"/>
            <w:noWrap/>
            <w:vAlign w:val="bottom"/>
            <w:hideMark/>
          </w:tcPr>
          <w:p w:rsidR="003315BD" w:rsidRPr="004854FC" w:rsidRDefault="003315BD" w:rsidP="00301A41">
            <w:pPr>
              <w:suppressAutoHyphens w:val="0"/>
              <w:spacing w:after="0" w:line="240" w:lineRule="auto"/>
              <w:rPr>
                <w:rFonts w:eastAsia="Times New Roman" w:cs="Calibri"/>
                <w:sz w:val="14"/>
                <w:szCs w:val="16"/>
                <w:lang w:eastAsia="es-ES"/>
              </w:rPr>
            </w:pPr>
            <w:r w:rsidRPr="004854FC">
              <w:rPr>
                <w:rFonts w:eastAsia="Times New Roman" w:cs="Calibri"/>
                <w:sz w:val="14"/>
                <w:szCs w:val="16"/>
                <w:lang w:eastAsia="es-ES"/>
              </w:rPr>
              <w:t>SANTANDER</w:t>
            </w:r>
          </w:p>
        </w:tc>
        <w:tc>
          <w:tcPr>
            <w:tcW w:w="1701" w:type="dxa"/>
            <w:gridSpan w:val="3"/>
            <w:tcBorders>
              <w:top w:val="single" w:sz="4" w:space="0" w:color="C0C0C0"/>
              <w:left w:val="nil"/>
              <w:bottom w:val="single" w:sz="4" w:space="0" w:color="auto"/>
              <w:right w:val="nil"/>
            </w:tcBorders>
            <w:shd w:val="clear" w:color="000000" w:fill="DAEEF3"/>
            <w:noWrap/>
            <w:vAlign w:val="bottom"/>
            <w:hideMark/>
          </w:tcPr>
          <w:p w:rsidR="003315BD" w:rsidRPr="004854FC" w:rsidRDefault="003315BD" w:rsidP="00301A41">
            <w:pPr>
              <w:suppressAutoHyphens w:val="0"/>
              <w:spacing w:after="0" w:line="240" w:lineRule="auto"/>
              <w:jc w:val="center"/>
              <w:rPr>
                <w:rFonts w:ascii="Arial" w:eastAsia="Times New Roman" w:hAnsi="Arial" w:cs="Arial"/>
                <w:sz w:val="14"/>
                <w:szCs w:val="16"/>
                <w:lang w:eastAsia="es-ES"/>
              </w:rPr>
            </w:pPr>
            <w:r w:rsidRPr="004854FC">
              <w:rPr>
                <w:rFonts w:ascii="Arial" w:eastAsia="Times New Roman" w:hAnsi="Arial" w:cs="Arial"/>
                <w:sz w:val="14"/>
                <w:szCs w:val="16"/>
                <w:lang w:eastAsia="es-ES"/>
              </w:rPr>
              <w:t>60</w:t>
            </w:r>
          </w:p>
        </w:tc>
      </w:tr>
      <w:tr w:rsidR="004854FC" w:rsidRPr="004854FC" w:rsidTr="004854FC">
        <w:trPr>
          <w:trHeight w:val="20"/>
          <w:jc w:val="center"/>
        </w:trPr>
        <w:tc>
          <w:tcPr>
            <w:tcW w:w="2410" w:type="dxa"/>
            <w:tcBorders>
              <w:top w:val="single" w:sz="4" w:space="0" w:color="auto"/>
              <w:left w:val="nil"/>
              <w:bottom w:val="nil"/>
              <w:right w:val="nil"/>
            </w:tcBorders>
            <w:shd w:val="clear" w:color="auto" w:fill="auto"/>
            <w:noWrap/>
            <w:vAlign w:val="bottom"/>
            <w:hideMark/>
          </w:tcPr>
          <w:p w:rsidR="003315BD" w:rsidRPr="004854FC" w:rsidRDefault="003315BD" w:rsidP="00301A41">
            <w:pPr>
              <w:suppressAutoHyphens w:val="0"/>
              <w:spacing w:after="0" w:line="240" w:lineRule="auto"/>
              <w:jc w:val="center"/>
              <w:rPr>
                <w:rFonts w:ascii="Arial" w:eastAsia="Times New Roman" w:hAnsi="Arial" w:cs="Arial"/>
                <w:sz w:val="14"/>
                <w:szCs w:val="16"/>
                <w:lang w:eastAsia="es-ES"/>
              </w:rPr>
            </w:pPr>
          </w:p>
        </w:tc>
        <w:tc>
          <w:tcPr>
            <w:tcW w:w="3518" w:type="dxa"/>
            <w:gridSpan w:val="2"/>
            <w:tcBorders>
              <w:top w:val="single" w:sz="4" w:space="0" w:color="auto"/>
              <w:left w:val="nil"/>
              <w:bottom w:val="nil"/>
              <w:right w:val="nil"/>
            </w:tcBorders>
            <w:shd w:val="clear" w:color="auto" w:fill="auto"/>
            <w:noWrap/>
            <w:vAlign w:val="bottom"/>
            <w:hideMark/>
          </w:tcPr>
          <w:p w:rsidR="003315BD" w:rsidRPr="004854FC" w:rsidRDefault="003315BD" w:rsidP="00301A41">
            <w:pPr>
              <w:suppressAutoHyphens w:val="0"/>
              <w:spacing w:after="0" w:line="240" w:lineRule="auto"/>
              <w:jc w:val="center"/>
              <w:rPr>
                <w:rFonts w:ascii="Times New Roman" w:eastAsia="Times New Roman" w:hAnsi="Times New Roman"/>
                <w:sz w:val="14"/>
                <w:szCs w:val="16"/>
                <w:lang w:eastAsia="es-ES"/>
              </w:rPr>
            </w:pPr>
          </w:p>
        </w:tc>
        <w:tc>
          <w:tcPr>
            <w:tcW w:w="160" w:type="dxa"/>
            <w:tcBorders>
              <w:top w:val="single" w:sz="4" w:space="0" w:color="auto"/>
              <w:left w:val="nil"/>
              <w:bottom w:val="nil"/>
              <w:right w:val="nil"/>
            </w:tcBorders>
            <w:shd w:val="clear" w:color="auto" w:fill="auto"/>
            <w:noWrap/>
            <w:vAlign w:val="bottom"/>
            <w:hideMark/>
          </w:tcPr>
          <w:p w:rsidR="003315BD" w:rsidRPr="004854FC" w:rsidRDefault="003315BD" w:rsidP="00301A41">
            <w:pPr>
              <w:suppressAutoHyphens w:val="0"/>
              <w:spacing w:after="0" w:line="240" w:lineRule="auto"/>
              <w:rPr>
                <w:rFonts w:ascii="Times New Roman" w:eastAsia="Times New Roman" w:hAnsi="Times New Roman"/>
                <w:sz w:val="14"/>
                <w:szCs w:val="16"/>
                <w:lang w:eastAsia="es-ES"/>
              </w:rPr>
            </w:pPr>
          </w:p>
        </w:tc>
        <w:tc>
          <w:tcPr>
            <w:tcW w:w="291" w:type="dxa"/>
            <w:tcBorders>
              <w:top w:val="single" w:sz="4" w:space="0" w:color="auto"/>
              <w:left w:val="nil"/>
              <w:bottom w:val="nil"/>
              <w:right w:val="nil"/>
            </w:tcBorders>
            <w:shd w:val="clear" w:color="000000" w:fill="DAEEF3"/>
            <w:noWrap/>
            <w:vAlign w:val="bottom"/>
            <w:hideMark/>
          </w:tcPr>
          <w:p w:rsidR="003315BD" w:rsidRPr="004854FC" w:rsidRDefault="003315BD" w:rsidP="00301A41">
            <w:pPr>
              <w:suppressAutoHyphens w:val="0"/>
              <w:spacing w:after="0" w:line="240" w:lineRule="auto"/>
              <w:jc w:val="center"/>
              <w:rPr>
                <w:rFonts w:ascii="Arial" w:eastAsia="Times New Roman" w:hAnsi="Arial" w:cs="Arial"/>
                <w:b/>
                <w:bCs/>
                <w:sz w:val="14"/>
                <w:szCs w:val="16"/>
                <w:lang w:eastAsia="es-ES"/>
              </w:rPr>
            </w:pPr>
            <w:r w:rsidRPr="004854FC">
              <w:rPr>
                <w:rFonts w:ascii="Arial" w:eastAsia="Times New Roman" w:hAnsi="Arial" w:cs="Arial"/>
                <w:b/>
                <w:bCs/>
                <w:sz w:val="14"/>
                <w:szCs w:val="16"/>
                <w:lang w:eastAsia="es-ES"/>
              </w:rPr>
              <w:t>6.450</w:t>
            </w:r>
          </w:p>
        </w:tc>
      </w:tr>
    </w:tbl>
    <w:p w:rsidR="003315BD" w:rsidRPr="003F3B93" w:rsidRDefault="003315BD" w:rsidP="003315BD">
      <w:pPr>
        <w:autoSpaceDE w:val="0"/>
        <w:spacing w:after="0" w:line="240" w:lineRule="auto"/>
        <w:rPr>
          <w:rFonts w:ascii="Century Gothic" w:eastAsia="CenturyGothic" w:hAnsi="Century Gothic" w:cs="CenturyGothic"/>
          <w:b/>
          <w:bCs/>
          <w:color w:val="FF0000"/>
        </w:rPr>
      </w:pPr>
    </w:p>
    <w:p w:rsidR="003315BD" w:rsidRDefault="003315BD" w:rsidP="003315BD">
      <w:pPr>
        <w:autoSpaceDE w:val="0"/>
        <w:spacing w:after="0" w:line="240" w:lineRule="auto"/>
        <w:rPr>
          <w:rFonts w:ascii="Century Gothic" w:eastAsia="CenturyGothic" w:hAnsi="Century Gothic" w:cs="CenturyGothic"/>
          <w:b/>
          <w:bCs/>
        </w:rPr>
      </w:pPr>
    </w:p>
    <w:p w:rsidR="003315BD" w:rsidRDefault="003315BD">
      <w:pPr>
        <w:pStyle w:val="WW-Default"/>
        <w:jc w:val="center"/>
        <w:rPr>
          <w:b/>
        </w:rPr>
      </w:pPr>
    </w:p>
    <w:p w:rsidR="003315BD" w:rsidRDefault="003315BD">
      <w:pPr>
        <w:pStyle w:val="WW-Default"/>
        <w:jc w:val="center"/>
        <w:rPr>
          <w:b/>
        </w:rPr>
      </w:pPr>
    </w:p>
    <w:p w:rsidR="005A3600" w:rsidRPr="00F4741F" w:rsidRDefault="005A3600" w:rsidP="005A3600">
      <w:pPr>
        <w:pStyle w:val="WW-Default"/>
        <w:rPr>
          <w:rFonts w:ascii="Century Gothic" w:hAnsi="Century Gothic"/>
          <w:b/>
          <w:bCs/>
          <w:color w:val="2E74B5" w:themeColor="accent1" w:themeShade="BF"/>
          <w:sz w:val="28"/>
          <w:szCs w:val="28"/>
        </w:rPr>
      </w:pPr>
      <w:r w:rsidRPr="00F4741F">
        <w:rPr>
          <w:rFonts w:ascii="Century Gothic" w:hAnsi="Century Gothic"/>
          <w:b/>
          <w:bCs/>
          <w:color w:val="2E74B5" w:themeColor="accent1" w:themeShade="BF"/>
          <w:sz w:val="28"/>
          <w:szCs w:val="28"/>
        </w:rPr>
        <w:lastRenderedPageBreak/>
        <w:t>2.7. F</w:t>
      </w:r>
      <w:r w:rsidR="00F4741F" w:rsidRPr="00F4741F">
        <w:rPr>
          <w:rFonts w:ascii="Century Gothic" w:hAnsi="Century Gothic"/>
          <w:b/>
          <w:bCs/>
          <w:color w:val="2E74B5" w:themeColor="accent1" w:themeShade="BF"/>
          <w:sz w:val="28"/>
          <w:szCs w:val="28"/>
        </w:rPr>
        <w:t>ichas técnicas</w:t>
      </w:r>
    </w:p>
    <w:p w:rsidR="005A3600" w:rsidRDefault="005A3600" w:rsidP="000E535F">
      <w:pPr>
        <w:pStyle w:val="WW-Default"/>
        <w:jc w:val="center"/>
        <w:rPr>
          <w:b/>
          <w:bCs/>
          <w:sz w:val="40"/>
          <w:szCs w:val="22"/>
        </w:rPr>
      </w:pPr>
    </w:p>
    <w:p w:rsidR="000E535F" w:rsidRPr="00F4741F" w:rsidRDefault="000E535F" w:rsidP="000E535F">
      <w:pPr>
        <w:pStyle w:val="WW-Default"/>
        <w:jc w:val="center"/>
        <w:rPr>
          <w:rFonts w:asciiTheme="minorHAnsi" w:hAnsiTheme="minorHAnsi" w:cstheme="minorHAnsi"/>
          <w:b/>
          <w:bCs/>
          <w:sz w:val="40"/>
          <w:szCs w:val="22"/>
        </w:rPr>
      </w:pPr>
      <w:r w:rsidRPr="00F4741F">
        <w:rPr>
          <w:rFonts w:asciiTheme="minorHAnsi" w:hAnsiTheme="minorHAnsi" w:cstheme="minorHAnsi"/>
          <w:b/>
          <w:bCs/>
          <w:sz w:val="40"/>
          <w:szCs w:val="22"/>
        </w:rPr>
        <w:t xml:space="preserve">AFLURIA </w:t>
      </w:r>
    </w:p>
    <w:p w:rsidR="000E535F" w:rsidRPr="00F4741F" w:rsidRDefault="000E535F" w:rsidP="000E535F">
      <w:pPr>
        <w:pStyle w:val="WW-Default"/>
        <w:jc w:val="center"/>
        <w:rPr>
          <w:rFonts w:asciiTheme="minorHAnsi" w:hAnsiTheme="minorHAnsi" w:cstheme="minorHAnsi"/>
          <w:sz w:val="22"/>
          <w:szCs w:val="22"/>
        </w:rPr>
      </w:pPr>
      <w:r w:rsidRPr="00F4741F">
        <w:rPr>
          <w:rFonts w:asciiTheme="minorHAnsi" w:hAnsiTheme="minorHAnsi" w:cstheme="minorHAnsi"/>
          <w:b/>
          <w:bCs/>
          <w:sz w:val="22"/>
          <w:szCs w:val="22"/>
        </w:rPr>
        <w:t xml:space="preserve">FICHA TÉCNICA </w:t>
      </w:r>
    </w:p>
    <w:p w:rsidR="000E535F" w:rsidRDefault="000E535F" w:rsidP="000E535F">
      <w:pPr>
        <w:pStyle w:val="WW-Default"/>
        <w:jc w:val="both"/>
        <w:rPr>
          <w:sz w:val="22"/>
          <w:szCs w:val="22"/>
        </w:rPr>
      </w:pP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b/>
          <w:bCs/>
          <w:sz w:val="20"/>
          <w:szCs w:val="22"/>
        </w:rPr>
        <w:t xml:space="preserve">1. NOMBRE DEL MEDICAMENTO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AFLURIA® </w:t>
      </w:r>
      <w:r w:rsidRPr="000E535F">
        <w:rPr>
          <w:rFonts w:asciiTheme="minorHAnsi" w:hAnsiTheme="minorHAnsi" w:cstheme="minorHAnsi"/>
          <w:bCs/>
          <w:sz w:val="20"/>
          <w:szCs w:val="22"/>
        </w:rPr>
        <w:t>S</w:t>
      </w:r>
      <w:r w:rsidRPr="000E535F">
        <w:rPr>
          <w:rFonts w:asciiTheme="minorHAnsi" w:hAnsiTheme="minorHAnsi" w:cstheme="minorHAnsi"/>
          <w:sz w:val="20"/>
          <w:szCs w:val="22"/>
        </w:rPr>
        <w:t xml:space="preserve">uspensión inyectable en jeringa precargada.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Vacuna antigripal (virus fraccionados, inactivados)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2. COMPOSICIÓN CUALITATIVA Y CUANTITATIVA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Virus de la gripe (fraccionados, inactivados con β-propiolactona) de las siguientes cepas*: </w:t>
      </w:r>
    </w:p>
    <w:p w:rsidR="000E535F" w:rsidRPr="000E535F" w:rsidRDefault="000E535F" w:rsidP="000E535F">
      <w:pPr>
        <w:pStyle w:val="WW-Default"/>
        <w:numPr>
          <w:ilvl w:val="0"/>
          <w:numId w:val="23"/>
        </w:numPr>
        <w:jc w:val="both"/>
        <w:rPr>
          <w:rFonts w:asciiTheme="minorHAnsi" w:hAnsiTheme="minorHAnsi" w:cstheme="minorHAnsi"/>
          <w:sz w:val="20"/>
          <w:szCs w:val="22"/>
        </w:rPr>
      </w:pPr>
      <w:r w:rsidRPr="000E535F">
        <w:rPr>
          <w:rFonts w:asciiTheme="minorHAnsi" w:hAnsiTheme="minorHAnsi" w:cstheme="minorHAnsi"/>
          <w:sz w:val="20"/>
          <w:szCs w:val="22"/>
        </w:rPr>
        <w:t xml:space="preserve">Cepa similar a A/Michigan/45/2015 (H1N1) pdm09: (A/Singapore/GP1908/2015, IVR-180A): 15 microgramos HA** </w:t>
      </w:r>
    </w:p>
    <w:p w:rsidR="000E535F" w:rsidRPr="000E535F" w:rsidRDefault="000E535F" w:rsidP="000E535F">
      <w:pPr>
        <w:pStyle w:val="WW-Default"/>
        <w:numPr>
          <w:ilvl w:val="0"/>
          <w:numId w:val="23"/>
        </w:numPr>
        <w:jc w:val="both"/>
        <w:rPr>
          <w:rFonts w:asciiTheme="minorHAnsi" w:hAnsiTheme="minorHAnsi" w:cstheme="minorHAnsi"/>
          <w:sz w:val="20"/>
          <w:szCs w:val="22"/>
        </w:rPr>
      </w:pPr>
      <w:r w:rsidRPr="000E535F">
        <w:rPr>
          <w:rFonts w:asciiTheme="minorHAnsi" w:hAnsiTheme="minorHAnsi" w:cstheme="minorHAnsi"/>
          <w:sz w:val="20"/>
          <w:szCs w:val="22"/>
        </w:rPr>
        <w:t xml:space="preserve">Cepa similar a A/Singapore/INFIMH-16-0019/2016 (H3N2): (A/Singapore/INFIMH-16-0019/2016, IVR-186): 15 microgramos HA** </w:t>
      </w:r>
    </w:p>
    <w:p w:rsidR="000E535F" w:rsidRPr="000E535F" w:rsidRDefault="000E535F" w:rsidP="000E535F">
      <w:pPr>
        <w:pStyle w:val="WW-Default"/>
        <w:numPr>
          <w:ilvl w:val="0"/>
          <w:numId w:val="23"/>
        </w:numPr>
        <w:jc w:val="both"/>
        <w:rPr>
          <w:rFonts w:asciiTheme="minorHAnsi" w:hAnsiTheme="minorHAnsi" w:cstheme="minorHAnsi"/>
          <w:sz w:val="20"/>
          <w:szCs w:val="22"/>
        </w:rPr>
      </w:pPr>
      <w:r w:rsidRPr="000E535F">
        <w:rPr>
          <w:rFonts w:asciiTheme="minorHAnsi" w:hAnsiTheme="minorHAnsi" w:cstheme="minorHAnsi"/>
          <w:sz w:val="20"/>
          <w:szCs w:val="22"/>
        </w:rPr>
        <w:t xml:space="preserve">Cepa similar a B/Colorado/06/2017: (B/Maryland/15/2016, tipo salvaje): 15 microgramos HA**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 cultivados en huevos de gallina embrionados procedentes de pollos sanos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 hemaglutinina </w:t>
      </w:r>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Por dosis de 0,5 ml.</w:t>
      </w:r>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Esta vacuna cumple con la recomendación de la OMS (hemisferio Norte) y con la decisión de la Unión Europea para la campaña 2018/2019.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Para consultar la lista completa de excipientes, ver sección 6.1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AFLURIA puede contener trazas de huevo como ovoalbúmina y residuos de neomicina y polimixina, que se utilizan durante el proceso de fabricación (ver sección 4.3).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3. FORMA FARMACÉUTICA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Suspensión inyectable en jeringa precargada.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Líquido transparente a ligeramente opalescente con algún sedimento que se vuelve a suspender al agitarlo.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b/>
          <w:bCs/>
          <w:sz w:val="20"/>
          <w:szCs w:val="22"/>
        </w:rPr>
        <w:t xml:space="preserve">4. DATOS CLÍNICOS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4.1. Indicaciones terapéuticas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Profilaxis de la gripe, especialmente en personas con un mayor riesgo de complicaciones asociadas. AFLURIA está indicada para adultos y niños a partir de 5 años. El uso de AFLURIA debe basarse en las recomendaciones oficiales.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i/>
          <w:iCs/>
          <w:sz w:val="20"/>
          <w:szCs w:val="22"/>
        </w:rPr>
      </w:pPr>
      <w:r w:rsidRPr="000E535F">
        <w:rPr>
          <w:rFonts w:asciiTheme="minorHAnsi" w:hAnsiTheme="minorHAnsi" w:cstheme="minorHAnsi"/>
          <w:b/>
          <w:bCs/>
          <w:sz w:val="20"/>
          <w:szCs w:val="22"/>
        </w:rPr>
        <w:t xml:space="preserve">4.2. Posología y forma de administración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rPr>
        <w:t xml:space="preserve">Posología </w:t>
      </w:r>
    </w:p>
    <w:p w:rsidR="000E535F" w:rsidRPr="000E535F" w:rsidRDefault="000E535F" w:rsidP="000E535F">
      <w:pPr>
        <w:pStyle w:val="WW-Default"/>
        <w:jc w:val="both"/>
        <w:rPr>
          <w:rFonts w:asciiTheme="minorHAnsi" w:hAnsiTheme="minorHAnsi" w:cstheme="minorHAnsi"/>
          <w:i/>
          <w:iCs/>
          <w:sz w:val="20"/>
          <w:szCs w:val="22"/>
        </w:rPr>
      </w:pPr>
      <w:r w:rsidRPr="000E535F">
        <w:rPr>
          <w:rFonts w:asciiTheme="minorHAnsi" w:hAnsiTheme="minorHAnsi" w:cstheme="minorHAnsi"/>
          <w:sz w:val="20"/>
          <w:szCs w:val="22"/>
        </w:rPr>
        <w:t>Adultos: 0,5 ml.</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rPr>
        <w:t xml:space="preserve">Población pediátrica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Niños a partir de 5 años: 0,5 ml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En niños menores de 9 años que no han sido previamente vacunados, debe administrarse una segunda dosis tras un intervalo mínimo de 4 semanas. </w:t>
      </w:r>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u w:val="single"/>
        </w:rPr>
        <w:t xml:space="preserve">Forma de administración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La inmunización debe realizarse mediante inyección intramuscular o subcutánea profunda.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Para las instrucciones de preparación del medicamento antes de la administración, ver sección 6.6.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4.3. Contraindicaciones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Hipersensibilidad a los principios activos, a alguno de los excipientes incluidos en la sección 6.1, o a cualquier componente que pueda aparecer como residuos, por ejemplo, huevos (ovoalbúmina, proteínas de pollo), neomicina, polimixina.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La inmunización se retrasará en pacientes con enfermedad febril o infección aguda. </w:t>
      </w:r>
    </w:p>
    <w:p w:rsidR="000E535F" w:rsidRPr="000E535F" w:rsidRDefault="000E535F" w:rsidP="000E535F">
      <w:pPr>
        <w:pStyle w:val="WW-Default"/>
        <w:jc w:val="both"/>
        <w:rPr>
          <w:rFonts w:asciiTheme="minorHAnsi" w:hAnsiTheme="minorHAnsi" w:cstheme="minorHAnsi"/>
          <w:sz w:val="20"/>
          <w:szCs w:val="22"/>
          <w:u w:val="single"/>
        </w:rPr>
      </w:pPr>
      <w:r w:rsidRPr="000E535F">
        <w:rPr>
          <w:rFonts w:asciiTheme="minorHAnsi" w:hAnsiTheme="minorHAnsi" w:cstheme="minorHAnsi"/>
          <w:b/>
          <w:bCs/>
          <w:sz w:val="20"/>
          <w:szCs w:val="22"/>
        </w:rPr>
        <w:t xml:space="preserve">4.4. Advertencias y precauciones especiales de empleo </w:t>
      </w:r>
    </w:p>
    <w:p w:rsidR="000E535F" w:rsidRPr="000E535F" w:rsidRDefault="000E535F" w:rsidP="000E535F">
      <w:pPr>
        <w:pStyle w:val="WW-Default"/>
        <w:jc w:val="both"/>
        <w:rPr>
          <w:rFonts w:asciiTheme="minorHAnsi" w:hAnsiTheme="minorHAnsi" w:cstheme="minorHAnsi"/>
          <w:sz w:val="20"/>
          <w:szCs w:val="22"/>
          <w:u w:val="single"/>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u w:val="single"/>
        </w:rPr>
        <w:t xml:space="preserve">Población pediátrica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Durante la estación de la gripe del año 2010 en el hemisferio Sur, hubo un aumento inesperado de las notificaciones de fiebre y convulsiones febriles en niños de menos de 5 años después de administrarles la vacuna antigripal estacional con este producto. </w:t>
      </w:r>
      <w:r w:rsidRPr="000E535F">
        <w:rPr>
          <w:rFonts w:asciiTheme="minorHAnsi" w:hAnsiTheme="minorHAnsi" w:cstheme="minorHAnsi"/>
          <w:sz w:val="20"/>
          <w:szCs w:val="22"/>
        </w:rPr>
        <w:lastRenderedPageBreak/>
        <w:t xml:space="preserve">Las convulsiones febriles se clasificaron como poco frecuentes (es decir su frecuencia estimada de notificaciones se situó entre ≥ 1/1000 a &lt; 1/100)*.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También se notificó un aumento del número de casos de fiebre en el grupo de edad comprendido entre 5 y 9 años. Por lo tanto en este grupo de edad la decisión de vacunar con AFLURIA debe basarse en una cuidadosa consideración de los beneficios y riesgos potenciales para el individuo.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Basado en el aumento del riesgo de convulsiones febriles en niños menores de 5 años, la indicación de la vacuna se ha restringido al uso en adultos y niños a partir de 5 años solamente.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(*estimado a partir de investigaciones epidemiológicas).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Como con todas las vacunas inyectables, se debe disponer del tratamiento médico y la supervisión apropiada en el caso de que ocurra un episodio anafiláctico tras la administración de la vacuna. </w:t>
      </w:r>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AFLURIA no debe administrarse bajo ninguna circunstancia por vía intravascular. </w:t>
      </w:r>
    </w:p>
    <w:p w:rsidR="000E535F" w:rsidRPr="000E535F" w:rsidRDefault="000E535F" w:rsidP="000E535F">
      <w:pPr>
        <w:pStyle w:val="WW-Default"/>
        <w:jc w:val="both"/>
        <w:rPr>
          <w:rFonts w:asciiTheme="minorHAnsi" w:hAnsiTheme="minorHAnsi" w:cstheme="minorHAnsi"/>
          <w:i/>
          <w:iCs/>
          <w:sz w:val="20"/>
          <w:szCs w:val="22"/>
        </w:rPr>
      </w:pPr>
      <w:r w:rsidRPr="000E535F">
        <w:rPr>
          <w:rFonts w:asciiTheme="minorHAnsi" w:hAnsiTheme="minorHAnsi" w:cstheme="minorHAnsi"/>
          <w:sz w:val="20"/>
          <w:szCs w:val="22"/>
        </w:rPr>
        <w:t xml:space="preserve">La respuesta de anticuerpos en pacientes con inmunodepresión endógena o iatrogénica puede ser insuficiente.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rPr>
        <w:t xml:space="preserve">Interferencia con los ensayos serológicos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(ver sección 4.5)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4.5. Interacción con otros medicamentos y otras formas de interacción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AFLURIA puede administrarse simultáneamente con otras vacunas. La inmunización debe realizarse en extremidades distintas. Debe tenerse en cuenta que las reacciones adversas pueden intensificarse.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Los pacientes bajo terapia inmunosupresora pueden presentar una respuesta inmunológica disminuida a la vacuna.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Se han observado resultados falsos positivos tras la vacunación con vacuna antigripal, en ensayos serológicos que utilizan el método ELISA para detectar anticuerpos frente a VIH-1, virus de la Hepatitis C y especialmente HTLV-1. Se debe utilizar la técnica Western Blot para refutar los falsos positivos de los resultados del test de ELISA. Los resultados falsos positivos transitorios pueden ser debidos a la respuesta de IgM que produce la vacuna.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u w:val="single"/>
        </w:rPr>
      </w:pPr>
      <w:r w:rsidRPr="000E535F">
        <w:rPr>
          <w:rFonts w:asciiTheme="minorHAnsi" w:hAnsiTheme="minorHAnsi" w:cstheme="minorHAnsi"/>
          <w:b/>
          <w:bCs/>
          <w:sz w:val="20"/>
          <w:szCs w:val="22"/>
        </w:rPr>
        <w:t xml:space="preserve">4.6. Fertilidad, embarazo y lactancia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u w:val="single"/>
        </w:rPr>
        <w:t xml:space="preserve">Embarazo </w:t>
      </w:r>
    </w:p>
    <w:p w:rsidR="000E535F" w:rsidRPr="000E535F" w:rsidRDefault="000E535F" w:rsidP="000E535F">
      <w:pPr>
        <w:pStyle w:val="WW-Default"/>
        <w:jc w:val="both"/>
        <w:rPr>
          <w:rFonts w:asciiTheme="minorHAnsi" w:hAnsiTheme="minorHAnsi" w:cstheme="minorHAnsi"/>
          <w:sz w:val="20"/>
          <w:szCs w:val="22"/>
          <w:u w:val="single"/>
        </w:rPr>
      </w:pPr>
      <w:r w:rsidRPr="000E535F">
        <w:rPr>
          <w:rFonts w:asciiTheme="minorHAnsi" w:hAnsiTheme="minorHAnsi" w:cstheme="minorHAnsi"/>
          <w:sz w:val="20"/>
          <w:szCs w:val="22"/>
        </w:rPr>
        <w:t xml:space="preserve">Las vacunas antigripales inactivadas pueden utilizarse en cualquier etapa del embarazo. Existen muchos datos sobre seguridad del segundo y tercer trimestre, más que del primero; sin embargo, los datos provenientes del uso a nivel mundial de las vacunas antigripales inactivadas, no muestran resultados que indiquen que la vacuna pueda tener efectos perjudiciales sobre el feto o la madre, atribuibles a la vacuna. Se realizó un estudio con AFLURIA en animales que no indicó toxicidad reproductiva (ver sección 5.3).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u w:val="single"/>
        </w:rPr>
        <w:t xml:space="preserve">Lactancia </w:t>
      </w:r>
    </w:p>
    <w:p w:rsidR="000E535F" w:rsidRPr="000E535F" w:rsidRDefault="000E535F" w:rsidP="000E535F">
      <w:pPr>
        <w:pStyle w:val="WW-Default"/>
        <w:jc w:val="both"/>
        <w:rPr>
          <w:rFonts w:asciiTheme="minorHAnsi" w:hAnsiTheme="minorHAnsi" w:cstheme="minorHAnsi"/>
          <w:sz w:val="20"/>
          <w:szCs w:val="22"/>
          <w:u w:val="single"/>
        </w:rPr>
      </w:pPr>
      <w:r w:rsidRPr="000E535F">
        <w:rPr>
          <w:rFonts w:asciiTheme="minorHAnsi" w:hAnsiTheme="minorHAnsi" w:cstheme="minorHAnsi"/>
          <w:sz w:val="20"/>
          <w:szCs w:val="22"/>
        </w:rPr>
        <w:t xml:space="preserve">AFLURIA puede utilizarse durante el período de lactancia.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u w:val="single"/>
        </w:rPr>
        <w:t xml:space="preserve">Fertilidad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Un estudio con AFLURIA en animales no mostró efectos adversos sobre la fertilidad de las mujeres (ver sección 5.3).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4.7. Efectos sobre la capacidad para conducir y utilizar máquinas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La influencia de AFLURIA sobre la capacidad de conducir y utilizar máquinas es nula o insignificante.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b/>
          <w:bCs/>
          <w:i/>
          <w:iCs/>
          <w:sz w:val="20"/>
          <w:szCs w:val="22"/>
        </w:rPr>
      </w:pPr>
      <w:r w:rsidRPr="000E535F">
        <w:rPr>
          <w:rFonts w:asciiTheme="minorHAnsi" w:hAnsiTheme="minorHAnsi" w:cstheme="minorHAnsi"/>
          <w:b/>
          <w:bCs/>
          <w:sz w:val="20"/>
          <w:szCs w:val="22"/>
        </w:rPr>
        <w:t xml:space="preserve">4.8. Reacciones adversas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b/>
          <w:bCs/>
          <w:i/>
          <w:iCs/>
          <w:sz w:val="20"/>
          <w:szCs w:val="22"/>
        </w:rPr>
        <w:t xml:space="preserve">Reacciones adversas observadas en los ensayos clínicos </w:t>
      </w:r>
    </w:p>
    <w:p w:rsidR="000E535F" w:rsidRPr="000E535F" w:rsidRDefault="000E535F" w:rsidP="000E535F">
      <w:pPr>
        <w:pStyle w:val="WW-Default"/>
        <w:jc w:val="both"/>
        <w:rPr>
          <w:rFonts w:asciiTheme="minorHAnsi" w:hAnsiTheme="minorHAnsi" w:cstheme="minorHAnsi"/>
          <w:i/>
          <w:iCs/>
          <w:sz w:val="20"/>
          <w:szCs w:val="22"/>
        </w:rPr>
      </w:pPr>
      <w:r w:rsidRPr="000E535F">
        <w:rPr>
          <w:rFonts w:asciiTheme="minorHAnsi" w:hAnsiTheme="minorHAnsi" w:cstheme="minorHAnsi"/>
          <w:b/>
          <w:bCs/>
          <w:sz w:val="20"/>
          <w:szCs w:val="22"/>
        </w:rPr>
        <w:t xml:space="preserve">Adultos y pacientes de edad avanzada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rPr>
        <w:t>Resumen del perfil de seguridad</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En los ensayos clínicos, se ha administrado una dosis única de AFLURIA y se ha recogido la información de seguridad en 11.104 adultos con edades comprendidas entre los 18 y los 65 años, y 630 personas de 65 años o mayores. Se presentan los datos clínicos de 3 ensayos clínicos; dos ensayos controlados con placebo en adultos (CSLCT-FLU-05-09 y CSLCT-USF-06-28) y un ensayo controlado con comparador en personas de edad avanzada (CSLCT-USF-07-41).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La evaluación de seguridad fue similar para los tres ensayos. Las reacciones adversas locales (lugar de la inyección) y los acontecimientos adversos sistémicos fueron solicitados durante 5 días después de la vacunación. Los acontecimientos adversos no solicitados se recogieron durante 21 días después de la vacunación.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La frecuencia de las reacciones adversas locales y acontecimientos adversos sistémicos solicitados y los acontecimientos adversos relacionados no solicitados, se presentan de acuerdo con el Diccionario Médico para Actividades Regulatorias (MedDRA) Sistema de clasificación de órganos y frecuencia para adultos desde 18 años (Tabla 1). No se observaron muertes relacionadas con la vacuna s ni se comunicaron acontecimientos adversos graves relacionados con ella en ninguno de los ensayos.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Para adultos y personas de edad avanzada, las reacciones adversas no solicitadas relacionadas con la vacuna que se comunicaron con mayor frecuencia en los tres ensayos clínicos fueron, la reactogenicidad (3,0%), dolor de cabeza (1,1%) y artralgia (1,1%). </w:t>
      </w:r>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b/>
          <w:bCs/>
          <w:sz w:val="16"/>
          <w:szCs w:val="18"/>
        </w:rPr>
        <w:lastRenderedPageBreak/>
        <w:t>Tabla 1. Reacciones adversas locales y acontecimientos adversos sistémicos solicitados, y acontecimientos adversos relacionados no solicitados, según el Sistema de clasificación de órganos MedDRA, y la categoría de frecuencias en adultos de 18 años y mayores.</w:t>
      </w:r>
    </w:p>
    <w:p w:rsidR="000E535F" w:rsidRPr="000E535F" w:rsidRDefault="000E535F" w:rsidP="000E535F">
      <w:pPr>
        <w:pStyle w:val="WW-Default"/>
        <w:jc w:val="both"/>
        <w:rPr>
          <w:rFonts w:asciiTheme="minorHAnsi" w:hAnsiTheme="minorHAnsi" w:cstheme="minorHAnsi"/>
          <w:b/>
          <w:bCs/>
          <w:sz w:val="20"/>
          <w:szCs w:val="22"/>
        </w:rPr>
      </w:pPr>
    </w:p>
    <w:tbl>
      <w:tblPr>
        <w:tblW w:w="0" w:type="auto"/>
        <w:tblInd w:w="-5" w:type="dxa"/>
        <w:tblLayout w:type="fixed"/>
        <w:tblLook w:val="0000" w:firstRow="0" w:lastRow="0" w:firstColumn="0" w:lastColumn="0" w:noHBand="0" w:noVBand="0"/>
      </w:tblPr>
      <w:tblGrid>
        <w:gridCol w:w="2120"/>
        <w:gridCol w:w="1943"/>
        <w:gridCol w:w="2481"/>
        <w:gridCol w:w="2186"/>
      </w:tblGrid>
      <w:tr w:rsidR="000E535F" w:rsidRPr="000E535F" w:rsidTr="000E535F">
        <w:tc>
          <w:tcPr>
            <w:tcW w:w="2120"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1904"/>
            </w:tblGrid>
            <w:tr w:rsidR="000E535F" w:rsidRPr="000E535F" w:rsidTr="000E535F">
              <w:trPr>
                <w:trHeight w:val="388"/>
              </w:trPr>
              <w:tc>
                <w:tcPr>
                  <w:tcW w:w="1904" w:type="dxa"/>
                  <w:shd w:val="clear" w:color="auto" w:fill="auto"/>
                </w:tcPr>
                <w:p w:rsidR="000E535F" w:rsidRPr="000E535F" w:rsidRDefault="000E535F" w:rsidP="000E535F">
                  <w:pPr>
                    <w:autoSpaceDE w:val="0"/>
                    <w:spacing w:after="0" w:line="240" w:lineRule="auto"/>
                    <w:rPr>
                      <w:rFonts w:asciiTheme="minorHAnsi" w:hAnsiTheme="minorHAnsi" w:cstheme="minorHAnsi"/>
                      <w:color w:val="000000"/>
                      <w:sz w:val="16"/>
                      <w:szCs w:val="20"/>
                    </w:rPr>
                  </w:pPr>
                  <w:r w:rsidRPr="000E535F">
                    <w:rPr>
                      <w:rFonts w:asciiTheme="minorHAnsi" w:hAnsiTheme="minorHAnsi" w:cstheme="minorHAnsi"/>
                      <w:bCs/>
                      <w:color w:val="000000"/>
                      <w:sz w:val="16"/>
                      <w:szCs w:val="20"/>
                    </w:rPr>
                    <w:t xml:space="preserve">Sistema de clasificación de órganos </w:t>
                  </w:r>
                </w:p>
                <w:p w:rsidR="000E535F" w:rsidRPr="000E535F" w:rsidRDefault="000E535F" w:rsidP="000E535F">
                  <w:pPr>
                    <w:autoSpaceDE w:val="0"/>
                    <w:spacing w:after="0" w:line="240" w:lineRule="auto"/>
                    <w:rPr>
                      <w:rFonts w:asciiTheme="minorHAnsi" w:hAnsiTheme="minorHAnsi" w:cstheme="minorHAnsi"/>
                      <w:color w:val="000000"/>
                      <w:sz w:val="16"/>
                      <w:szCs w:val="20"/>
                    </w:rPr>
                  </w:pPr>
                </w:p>
              </w:tc>
            </w:tr>
          </w:tbl>
          <w:p w:rsidR="000E535F" w:rsidRPr="000E535F" w:rsidRDefault="000E535F" w:rsidP="000E535F">
            <w:pPr>
              <w:rPr>
                <w:rFonts w:asciiTheme="minorHAnsi" w:hAnsiTheme="minorHAnsi" w:cstheme="minorHAnsi"/>
                <w:b/>
                <w:bCs/>
                <w:sz w:val="16"/>
                <w:szCs w:val="20"/>
              </w:rPr>
            </w:pPr>
          </w:p>
        </w:tc>
        <w:tc>
          <w:tcPr>
            <w:tcW w:w="1943"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b/>
                <w:bCs/>
                <w:sz w:val="16"/>
                <w:szCs w:val="20"/>
              </w:rPr>
              <w:t xml:space="preserve">Muy frecuentes &gt;1/10 </w:t>
            </w:r>
          </w:p>
          <w:p w:rsidR="000E535F" w:rsidRPr="000E535F" w:rsidRDefault="000E535F" w:rsidP="000E535F">
            <w:pPr>
              <w:pStyle w:val="WW-Default"/>
              <w:rPr>
                <w:rFonts w:asciiTheme="minorHAnsi" w:hAnsiTheme="minorHAnsi" w:cstheme="minorHAnsi"/>
                <w:sz w:val="16"/>
                <w:szCs w:val="20"/>
              </w:rPr>
            </w:pPr>
          </w:p>
        </w:tc>
        <w:tc>
          <w:tcPr>
            <w:tcW w:w="2481"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b/>
                <w:bCs/>
                <w:sz w:val="16"/>
                <w:szCs w:val="20"/>
              </w:rPr>
            </w:pPr>
            <w:r w:rsidRPr="000E535F">
              <w:rPr>
                <w:rFonts w:asciiTheme="minorHAnsi" w:hAnsiTheme="minorHAnsi" w:cstheme="minorHAnsi"/>
                <w:b/>
                <w:bCs/>
                <w:sz w:val="16"/>
                <w:szCs w:val="20"/>
              </w:rPr>
              <w:t xml:space="preserve">Frecuentes </w:t>
            </w:r>
          </w:p>
          <w:p w:rsidR="000E535F" w:rsidRPr="000E535F" w:rsidRDefault="000E535F" w:rsidP="000E535F">
            <w:pPr>
              <w:pStyle w:val="WW-Default"/>
              <w:rPr>
                <w:rFonts w:asciiTheme="minorHAnsi" w:hAnsiTheme="minorHAnsi" w:cstheme="minorHAnsi"/>
                <w:b/>
                <w:bCs/>
                <w:sz w:val="16"/>
                <w:szCs w:val="20"/>
              </w:rPr>
            </w:pPr>
            <w:r w:rsidRPr="000E535F">
              <w:rPr>
                <w:rFonts w:asciiTheme="minorHAnsi" w:hAnsiTheme="minorHAnsi" w:cstheme="minorHAnsi"/>
                <w:b/>
                <w:bCs/>
                <w:sz w:val="16"/>
                <w:szCs w:val="20"/>
              </w:rPr>
              <w:t xml:space="preserve">≥1/100 a &lt;1/10 </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rPr>
                <w:rFonts w:asciiTheme="minorHAnsi" w:hAnsiTheme="minorHAnsi" w:cstheme="minorHAnsi"/>
                <w:sz w:val="16"/>
              </w:rPr>
            </w:pPr>
            <w:r w:rsidRPr="000E535F">
              <w:rPr>
                <w:rFonts w:asciiTheme="minorHAnsi" w:hAnsiTheme="minorHAnsi" w:cstheme="minorHAnsi"/>
                <w:b/>
                <w:bCs/>
                <w:sz w:val="16"/>
                <w:szCs w:val="20"/>
              </w:rPr>
              <w:t xml:space="preserve">Poco frecuentes ≥1/1.000 a &lt;1/100 </w:t>
            </w:r>
          </w:p>
        </w:tc>
      </w:tr>
      <w:tr w:rsidR="000E535F" w:rsidRPr="000E535F" w:rsidTr="000E535F">
        <w:tc>
          <w:tcPr>
            <w:tcW w:w="2120"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b/>
                <w:bCs/>
                <w:sz w:val="16"/>
                <w:szCs w:val="20"/>
              </w:rPr>
              <w:t xml:space="preserve">Trastornos del sistema nervioso </w:t>
            </w:r>
          </w:p>
          <w:p w:rsidR="000E535F" w:rsidRPr="000E535F" w:rsidRDefault="000E535F" w:rsidP="000E535F">
            <w:pPr>
              <w:pStyle w:val="WW-Default"/>
              <w:rPr>
                <w:rFonts w:asciiTheme="minorHAnsi" w:hAnsiTheme="minorHAnsi" w:cstheme="minorHAnsi"/>
                <w:sz w:val="16"/>
                <w:szCs w:val="20"/>
              </w:rPr>
            </w:pPr>
          </w:p>
        </w:tc>
        <w:tc>
          <w:tcPr>
            <w:tcW w:w="1943"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1505"/>
              <w:gridCol w:w="239"/>
            </w:tblGrid>
            <w:tr w:rsidR="000E535F" w:rsidRPr="000E535F" w:rsidTr="000E535F">
              <w:trPr>
                <w:trHeight w:val="122"/>
              </w:trPr>
              <w:tc>
                <w:tcPr>
                  <w:tcW w:w="1505" w:type="dxa"/>
                  <w:shd w:val="clear" w:color="auto" w:fill="auto"/>
                </w:tcPr>
                <w:p w:rsidR="000E535F" w:rsidRPr="000E535F" w:rsidRDefault="000E535F" w:rsidP="000E535F">
                  <w:pPr>
                    <w:autoSpaceDE w:val="0"/>
                    <w:spacing w:after="0" w:line="240" w:lineRule="auto"/>
                    <w:rPr>
                      <w:rFonts w:asciiTheme="minorHAnsi" w:hAnsiTheme="minorHAnsi" w:cstheme="minorHAnsi"/>
                      <w:color w:val="000000"/>
                      <w:sz w:val="16"/>
                      <w:szCs w:val="20"/>
                    </w:rPr>
                  </w:pPr>
                  <w:r w:rsidRPr="000E535F">
                    <w:rPr>
                      <w:rFonts w:asciiTheme="minorHAnsi" w:hAnsiTheme="minorHAnsi" w:cstheme="minorHAnsi"/>
                      <w:color w:val="000000"/>
                      <w:sz w:val="16"/>
                      <w:szCs w:val="20"/>
                    </w:rPr>
                    <w:t xml:space="preserve">Dolor de cabeza (a) </w:t>
                  </w:r>
                </w:p>
              </w:tc>
              <w:tc>
                <w:tcPr>
                  <w:tcW w:w="239" w:type="dxa"/>
                  <w:shd w:val="clear" w:color="auto" w:fill="auto"/>
                </w:tcPr>
                <w:p w:rsidR="000E535F" w:rsidRPr="000E535F" w:rsidRDefault="000E535F" w:rsidP="000E535F">
                  <w:pPr>
                    <w:autoSpaceDE w:val="0"/>
                    <w:snapToGrid w:val="0"/>
                    <w:spacing w:after="0" w:line="240" w:lineRule="auto"/>
                    <w:rPr>
                      <w:rFonts w:asciiTheme="minorHAnsi" w:hAnsiTheme="minorHAnsi" w:cstheme="minorHAnsi"/>
                      <w:color w:val="000000"/>
                      <w:sz w:val="16"/>
                      <w:szCs w:val="20"/>
                    </w:rPr>
                  </w:pPr>
                </w:p>
              </w:tc>
            </w:tr>
          </w:tbl>
          <w:p w:rsidR="000E535F" w:rsidRPr="000E535F" w:rsidRDefault="000E535F" w:rsidP="000E535F">
            <w:pPr>
              <w:rPr>
                <w:rFonts w:asciiTheme="minorHAnsi" w:hAnsiTheme="minorHAnsi" w:cstheme="minorHAnsi"/>
                <w:color w:val="000000"/>
                <w:sz w:val="16"/>
                <w:szCs w:val="20"/>
              </w:rPr>
            </w:pPr>
          </w:p>
        </w:tc>
        <w:tc>
          <w:tcPr>
            <w:tcW w:w="2481"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1938"/>
            </w:tblGrid>
            <w:tr w:rsidR="000E535F" w:rsidRPr="000E535F" w:rsidTr="000E535F">
              <w:trPr>
                <w:trHeight w:val="122"/>
              </w:trPr>
              <w:tc>
                <w:tcPr>
                  <w:tcW w:w="1938" w:type="dxa"/>
                  <w:shd w:val="clear" w:color="auto" w:fill="auto"/>
                </w:tcPr>
                <w:p w:rsidR="000E535F" w:rsidRPr="000E535F" w:rsidRDefault="000E535F" w:rsidP="000E535F">
                  <w:pPr>
                    <w:autoSpaceDE w:val="0"/>
                    <w:spacing w:after="0" w:line="240" w:lineRule="auto"/>
                    <w:rPr>
                      <w:rFonts w:asciiTheme="minorHAnsi" w:hAnsiTheme="minorHAnsi" w:cstheme="minorHAnsi"/>
                      <w:sz w:val="16"/>
                    </w:rPr>
                  </w:pPr>
                  <w:r w:rsidRPr="000E535F">
                    <w:rPr>
                      <w:rFonts w:asciiTheme="minorHAnsi" w:hAnsiTheme="minorHAnsi" w:cstheme="minorHAnsi"/>
                      <w:color w:val="000000"/>
                      <w:sz w:val="16"/>
                      <w:szCs w:val="20"/>
                    </w:rPr>
                    <w:t>Dolor de cabeza (b,c)</w:t>
                  </w:r>
                </w:p>
              </w:tc>
            </w:tr>
          </w:tbl>
          <w:p w:rsidR="000E535F" w:rsidRPr="000E535F" w:rsidRDefault="000E535F" w:rsidP="000E535F">
            <w:pPr>
              <w:rPr>
                <w:rFonts w:asciiTheme="minorHAnsi" w:hAnsiTheme="minorHAnsi" w:cstheme="minorHAnsi"/>
                <w:sz w:val="16"/>
                <w:szCs w:val="20"/>
              </w:rPr>
            </w:pP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snapToGrid w:val="0"/>
              <w:rPr>
                <w:rFonts w:asciiTheme="minorHAnsi" w:hAnsiTheme="minorHAnsi" w:cstheme="minorHAnsi"/>
                <w:sz w:val="16"/>
                <w:szCs w:val="20"/>
              </w:rPr>
            </w:pPr>
          </w:p>
        </w:tc>
      </w:tr>
      <w:tr w:rsidR="000E535F" w:rsidRPr="000E535F" w:rsidTr="000E535F">
        <w:tc>
          <w:tcPr>
            <w:tcW w:w="2120"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b/>
                <w:bCs/>
                <w:sz w:val="16"/>
                <w:szCs w:val="20"/>
              </w:rPr>
              <w:t xml:space="preserve">Trastornos gastrointestinales </w:t>
            </w:r>
          </w:p>
        </w:tc>
        <w:tc>
          <w:tcPr>
            <w:tcW w:w="1943"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snapToGrid w:val="0"/>
              <w:rPr>
                <w:rFonts w:asciiTheme="minorHAnsi" w:hAnsiTheme="minorHAnsi" w:cstheme="minorHAnsi"/>
                <w:sz w:val="16"/>
                <w:szCs w:val="20"/>
              </w:rPr>
            </w:pPr>
          </w:p>
        </w:tc>
        <w:tc>
          <w:tcPr>
            <w:tcW w:w="2481"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1305"/>
            </w:tblGrid>
            <w:tr w:rsidR="000E535F" w:rsidRPr="000E535F" w:rsidTr="000E535F">
              <w:trPr>
                <w:trHeight w:val="122"/>
              </w:trPr>
              <w:tc>
                <w:tcPr>
                  <w:tcW w:w="1305" w:type="dxa"/>
                  <w:shd w:val="clear" w:color="auto" w:fill="auto"/>
                </w:tcPr>
                <w:p w:rsidR="000E535F" w:rsidRPr="000E535F" w:rsidRDefault="000E535F" w:rsidP="000E535F">
                  <w:pPr>
                    <w:autoSpaceDE w:val="0"/>
                    <w:spacing w:after="0" w:line="240" w:lineRule="auto"/>
                    <w:rPr>
                      <w:rFonts w:asciiTheme="minorHAnsi" w:hAnsiTheme="minorHAnsi" w:cstheme="minorHAnsi"/>
                      <w:sz w:val="16"/>
                    </w:rPr>
                  </w:pPr>
                  <w:r w:rsidRPr="000E535F">
                    <w:rPr>
                      <w:rFonts w:asciiTheme="minorHAnsi" w:hAnsiTheme="minorHAnsi" w:cstheme="minorHAnsi"/>
                      <w:color w:val="000000"/>
                      <w:sz w:val="16"/>
                      <w:szCs w:val="20"/>
                    </w:rPr>
                    <w:t xml:space="preserve">Náuseas (a,b) </w:t>
                  </w:r>
                </w:p>
              </w:tc>
            </w:tr>
          </w:tbl>
          <w:p w:rsidR="000E535F" w:rsidRPr="000E535F" w:rsidRDefault="000E535F" w:rsidP="000E535F">
            <w:pPr>
              <w:rPr>
                <w:rFonts w:asciiTheme="minorHAnsi" w:hAnsiTheme="minorHAnsi" w:cstheme="minorHAnsi"/>
                <w:color w:val="000000"/>
                <w:sz w:val="16"/>
                <w:szCs w:val="20"/>
              </w:rPr>
            </w:pPr>
          </w:p>
        </w:tc>
        <w:tc>
          <w:tcPr>
            <w:tcW w:w="2186"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Look w:val="0000" w:firstRow="0" w:lastRow="0" w:firstColumn="0" w:lastColumn="0" w:noHBand="0" w:noVBand="0"/>
            </w:tblPr>
            <w:tblGrid>
              <w:gridCol w:w="1327"/>
            </w:tblGrid>
            <w:tr w:rsidR="000E535F" w:rsidRPr="000E535F" w:rsidTr="000E535F">
              <w:trPr>
                <w:trHeight w:val="122"/>
              </w:trPr>
              <w:tc>
                <w:tcPr>
                  <w:tcW w:w="1327" w:type="dxa"/>
                  <w:shd w:val="clear" w:color="auto" w:fill="auto"/>
                </w:tcPr>
                <w:p w:rsidR="000E535F" w:rsidRPr="000E535F" w:rsidRDefault="000E535F" w:rsidP="000E535F">
                  <w:pPr>
                    <w:autoSpaceDE w:val="0"/>
                    <w:spacing w:after="0" w:line="240" w:lineRule="auto"/>
                    <w:rPr>
                      <w:rFonts w:asciiTheme="minorHAnsi" w:hAnsiTheme="minorHAnsi" w:cstheme="minorHAnsi"/>
                      <w:sz w:val="16"/>
                    </w:rPr>
                  </w:pPr>
                  <w:r w:rsidRPr="000E535F">
                    <w:rPr>
                      <w:rFonts w:asciiTheme="minorHAnsi" w:hAnsiTheme="minorHAnsi" w:cstheme="minorHAnsi"/>
                      <w:color w:val="000000"/>
                      <w:sz w:val="16"/>
                      <w:szCs w:val="20"/>
                    </w:rPr>
                    <w:t xml:space="preserve">Vómitos (a,b) </w:t>
                  </w:r>
                </w:p>
              </w:tc>
            </w:tr>
          </w:tbl>
          <w:p w:rsidR="000E535F" w:rsidRPr="000E535F" w:rsidRDefault="000E535F" w:rsidP="000E535F">
            <w:pPr>
              <w:rPr>
                <w:rFonts w:asciiTheme="minorHAnsi" w:hAnsiTheme="minorHAnsi" w:cstheme="minorHAnsi"/>
                <w:b/>
                <w:bCs/>
                <w:color w:val="000000"/>
                <w:sz w:val="16"/>
                <w:szCs w:val="20"/>
              </w:rPr>
            </w:pPr>
          </w:p>
        </w:tc>
      </w:tr>
      <w:tr w:rsidR="000E535F" w:rsidRPr="000E535F" w:rsidTr="000E535F">
        <w:tc>
          <w:tcPr>
            <w:tcW w:w="2120"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1904"/>
            </w:tblGrid>
            <w:tr w:rsidR="000E535F" w:rsidRPr="000E535F" w:rsidTr="000E535F">
              <w:trPr>
                <w:trHeight w:val="352"/>
              </w:trPr>
              <w:tc>
                <w:tcPr>
                  <w:tcW w:w="1904" w:type="dxa"/>
                  <w:shd w:val="clear" w:color="auto" w:fill="auto"/>
                </w:tcPr>
                <w:p w:rsidR="000E535F" w:rsidRPr="000E535F" w:rsidRDefault="000E535F" w:rsidP="000E535F">
                  <w:pPr>
                    <w:autoSpaceDE w:val="0"/>
                    <w:spacing w:after="0" w:line="240" w:lineRule="auto"/>
                    <w:rPr>
                      <w:rFonts w:asciiTheme="minorHAnsi" w:hAnsiTheme="minorHAnsi" w:cstheme="minorHAnsi"/>
                      <w:b/>
                      <w:bCs/>
                      <w:color w:val="000000"/>
                      <w:sz w:val="16"/>
                      <w:szCs w:val="20"/>
                    </w:rPr>
                  </w:pPr>
                  <w:r w:rsidRPr="000E535F">
                    <w:rPr>
                      <w:rFonts w:asciiTheme="minorHAnsi" w:hAnsiTheme="minorHAnsi" w:cstheme="minorHAnsi"/>
                      <w:b/>
                      <w:bCs/>
                      <w:color w:val="000000"/>
                      <w:sz w:val="16"/>
                      <w:szCs w:val="20"/>
                    </w:rPr>
                    <w:t>Trastornos musculo-esqueléticos y del tejido conjuntivo</w:t>
                  </w:r>
                </w:p>
                <w:p w:rsidR="000E535F" w:rsidRPr="000E535F" w:rsidRDefault="000E535F" w:rsidP="000E535F">
                  <w:pPr>
                    <w:autoSpaceDE w:val="0"/>
                    <w:spacing w:after="0" w:line="240" w:lineRule="auto"/>
                    <w:rPr>
                      <w:rFonts w:asciiTheme="minorHAnsi" w:hAnsiTheme="minorHAnsi" w:cstheme="minorHAnsi"/>
                      <w:sz w:val="16"/>
                    </w:rPr>
                  </w:pPr>
                  <w:r w:rsidRPr="000E535F">
                    <w:rPr>
                      <w:rFonts w:asciiTheme="minorHAnsi" w:hAnsiTheme="minorHAnsi" w:cstheme="minorHAnsi"/>
                      <w:b/>
                      <w:bCs/>
                      <w:color w:val="000000"/>
                      <w:sz w:val="16"/>
                      <w:szCs w:val="20"/>
                    </w:rPr>
                    <w:t xml:space="preserve"> </w:t>
                  </w:r>
                </w:p>
              </w:tc>
            </w:tr>
          </w:tbl>
          <w:p w:rsidR="000E535F" w:rsidRPr="000E535F" w:rsidRDefault="000E535F" w:rsidP="000E535F">
            <w:pPr>
              <w:rPr>
                <w:rFonts w:asciiTheme="minorHAnsi" w:hAnsiTheme="minorHAnsi" w:cstheme="minorHAnsi"/>
                <w:color w:val="000000"/>
                <w:sz w:val="16"/>
                <w:szCs w:val="20"/>
              </w:rPr>
            </w:pPr>
          </w:p>
        </w:tc>
        <w:tc>
          <w:tcPr>
            <w:tcW w:w="1943"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1505"/>
              <w:gridCol w:w="239"/>
            </w:tblGrid>
            <w:tr w:rsidR="000E535F" w:rsidRPr="000E535F" w:rsidTr="000E535F">
              <w:trPr>
                <w:trHeight w:val="353"/>
              </w:trPr>
              <w:tc>
                <w:tcPr>
                  <w:tcW w:w="1505" w:type="dxa"/>
                  <w:shd w:val="clear" w:color="auto" w:fill="auto"/>
                </w:tcPr>
                <w:p w:rsidR="000E535F" w:rsidRPr="000E535F" w:rsidRDefault="000E535F" w:rsidP="000E535F">
                  <w:pPr>
                    <w:autoSpaceDE w:val="0"/>
                    <w:spacing w:after="0" w:line="240" w:lineRule="auto"/>
                    <w:rPr>
                      <w:rFonts w:asciiTheme="minorHAnsi" w:hAnsiTheme="minorHAnsi" w:cstheme="minorHAnsi"/>
                      <w:color w:val="000000"/>
                      <w:sz w:val="16"/>
                      <w:szCs w:val="20"/>
                    </w:rPr>
                  </w:pPr>
                  <w:r w:rsidRPr="000E535F">
                    <w:rPr>
                      <w:rFonts w:asciiTheme="minorHAnsi" w:hAnsiTheme="minorHAnsi" w:cstheme="minorHAnsi"/>
                      <w:color w:val="000000"/>
                      <w:sz w:val="16"/>
                      <w:szCs w:val="20"/>
                    </w:rPr>
                    <w:t xml:space="preserve">Mialgia/dolor muscular general (a) </w:t>
                  </w:r>
                </w:p>
              </w:tc>
              <w:tc>
                <w:tcPr>
                  <w:tcW w:w="239" w:type="dxa"/>
                  <w:shd w:val="clear" w:color="auto" w:fill="auto"/>
                </w:tcPr>
                <w:p w:rsidR="000E535F" w:rsidRPr="000E535F" w:rsidRDefault="000E535F" w:rsidP="000E535F">
                  <w:pPr>
                    <w:autoSpaceDE w:val="0"/>
                    <w:spacing w:after="0" w:line="240" w:lineRule="auto"/>
                    <w:rPr>
                      <w:rFonts w:asciiTheme="minorHAnsi" w:hAnsiTheme="minorHAnsi" w:cstheme="minorHAnsi"/>
                      <w:sz w:val="16"/>
                    </w:rPr>
                  </w:pPr>
                  <w:r w:rsidRPr="000E535F">
                    <w:rPr>
                      <w:rFonts w:asciiTheme="minorHAnsi" w:hAnsiTheme="minorHAnsi" w:cstheme="minorHAnsi"/>
                      <w:color w:val="000000"/>
                      <w:sz w:val="16"/>
                      <w:szCs w:val="20"/>
                    </w:rPr>
                    <w:t xml:space="preserve"> </w:t>
                  </w:r>
                </w:p>
              </w:tc>
            </w:tr>
          </w:tbl>
          <w:p w:rsidR="000E535F" w:rsidRPr="000E535F" w:rsidRDefault="000E535F" w:rsidP="000E535F">
            <w:pPr>
              <w:rPr>
                <w:rFonts w:asciiTheme="minorHAnsi" w:hAnsiTheme="minorHAnsi" w:cstheme="minorHAnsi"/>
                <w:color w:val="000000"/>
                <w:sz w:val="16"/>
                <w:szCs w:val="20"/>
              </w:rPr>
            </w:pPr>
          </w:p>
        </w:tc>
        <w:tc>
          <w:tcPr>
            <w:tcW w:w="2481"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2265"/>
            </w:tblGrid>
            <w:tr w:rsidR="000E535F" w:rsidRPr="000E535F" w:rsidTr="000E535F">
              <w:trPr>
                <w:trHeight w:val="353"/>
              </w:trPr>
              <w:tc>
                <w:tcPr>
                  <w:tcW w:w="2265" w:type="dxa"/>
                  <w:shd w:val="clear" w:color="auto" w:fill="auto"/>
                </w:tcPr>
                <w:p w:rsidR="000E535F" w:rsidRPr="000E535F" w:rsidRDefault="000E535F" w:rsidP="000E535F">
                  <w:pPr>
                    <w:autoSpaceDE w:val="0"/>
                    <w:spacing w:after="0" w:line="240" w:lineRule="auto"/>
                    <w:rPr>
                      <w:rFonts w:asciiTheme="minorHAnsi" w:hAnsiTheme="minorHAnsi" w:cstheme="minorHAnsi"/>
                      <w:color w:val="000000"/>
                      <w:sz w:val="16"/>
                      <w:szCs w:val="20"/>
                    </w:rPr>
                  </w:pPr>
                  <w:r w:rsidRPr="000E535F">
                    <w:rPr>
                      <w:rFonts w:asciiTheme="minorHAnsi" w:hAnsiTheme="minorHAnsi" w:cstheme="minorHAnsi"/>
                      <w:color w:val="000000"/>
                      <w:sz w:val="16"/>
                      <w:szCs w:val="20"/>
                    </w:rPr>
                    <w:t>Mialgia/dolor muscular general (b)</w:t>
                  </w:r>
                </w:p>
                <w:p w:rsidR="000E535F" w:rsidRPr="000E535F" w:rsidRDefault="000E535F" w:rsidP="000E535F">
                  <w:pPr>
                    <w:autoSpaceDE w:val="0"/>
                    <w:spacing w:after="0" w:line="240" w:lineRule="auto"/>
                    <w:rPr>
                      <w:rFonts w:asciiTheme="minorHAnsi" w:hAnsiTheme="minorHAnsi" w:cstheme="minorHAnsi"/>
                      <w:sz w:val="16"/>
                    </w:rPr>
                  </w:pPr>
                  <w:r w:rsidRPr="000E535F">
                    <w:rPr>
                      <w:rFonts w:asciiTheme="minorHAnsi" w:hAnsiTheme="minorHAnsi" w:cstheme="minorHAnsi"/>
                      <w:color w:val="000000"/>
                      <w:sz w:val="16"/>
                      <w:szCs w:val="20"/>
                    </w:rPr>
                    <w:t>Artralgia (b)</w:t>
                  </w:r>
                </w:p>
              </w:tc>
            </w:tr>
          </w:tbl>
          <w:p w:rsidR="000E535F" w:rsidRPr="000E535F" w:rsidRDefault="000E535F" w:rsidP="000E535F">
            <w:pPr>
              <w:rPr>
                <w:rFonts w:asciiTheme="minorHAnsi" w:hAnsiTheme="minorHAnsi" w:cstheme="minorHAnsi"/>
                <w:sz w:val="16"/>
                <w:szCs w:val="20"/>
              </w:rPr>
            </w:pP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snapToGrid w:val="0"/>
              <w:rPr>
                <w:rFonts w:asciiTheme="minorHAnsi" w:hAnsiTheme="minorHAnsi" w:cstheme="minorHAnsi"/>
                <w:sz w:val="16"/>
                <w:szCs w:val="20"/>
              </w:rPr>
            </w:pPr>
          </w:p>
        </w:tc>
      </w:tr>
      <w:tr w:rsidR="000E535F" w:rsidRPr="000E535F" w:rsidTr="000E535F">
        <w:tc>
          <w:tcPr>
            <w:tcW w:w="2120"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1904"/>
            </w:tblGrid>
            <w:tr w:rsidR="000E535F" w:rsidRPr="000E535F" w:rsidTr="000E535F">
              <w:trPr>
                <w:trHeight w:val="604"/>
              </w:trPr>
              <w:tc>
                <w:tcPr>
                  <w:tcW w:w="1904" w:type="dxa"/>
                  <w:shd w:val="clear" w:color="auto" w:fill="auto"/>
                </w:tcPr>
                <w:p w:rsidR="000E535F" w:rsidRPr="000E535F" w:rsidRDefault="000E535F" w:rsidP="000E535F">
                  <w:pPr>
                    <w:autoSpaceDE w:val="0"/>
                    <w:spacing w:after="0" w:line="240" w:lineRule="auto"/>
                    <w:rPr>
                      <w:rFonts w:asciiTheme="minorHAnsi" w:hAnsiTheme="minorHAnsi" w:cstheme="minorHAnsi"/>
                      <w:b/>
                      <w:bCs/>
                      <w:color w:val="000000"/>
                      <w:sz w:val="16"/>
                      <w:szCs w:val="20"/>
                    </w:rPr>
                  </w:pPr>
                  <w:r w:rsidRPr="000E535F">
                    <w:rPr>
                      <w:rFonts w:asciiTheme="minorHAnsi" w:hAnsiTheme="minorHAnsi" w:cstheme="minorHAnsi"/>
                      <w:b/>
                      <w:bCs/>
                      <w:color w:val="000000"/>
                      <w:sz w:val="16"/>
                      <w:szCs w:val="20"/>
                    </w:rPr>
                    <w:t xml:space="preserve">Trastornos generales y alteraciones en el lugar de administración </w:t>
                  </w:r>
                </w:p>
                <w:p w:rsidR="000E535F" w:rsidRPr="000E535F" w:rsidRDefault="000E535F" w:rsidP="000E535F">
                  <w:pPr>
                    <w:autoSpaceDE w:val="0"/>
                    <w:spacing w:after="0" w:line="240" w:lineRule="auto"/>
                    <w:rPr>
                      <w:rFonts w:asciiTheme="minorHAnsi" w:hAnsiTheme="minorHAnsi" w:cstheme="minorHAnsi"/>
                      <w:b/>
                      <w:bCs/>
                      <w:color w:val="000000"/>
                      <w:sz w:val="16"/>
                      <w:szCs w:val="20"/>
                    </w:rPr>
                  </w:pPr>
                </w:p>
                <w:p w:rsidR="000E535F" w:rsidRPr="000E535F" w:rsidRDefault="000E535F" w:rsidP="000E535F">
                  <w:pPr>
                    <w:autoSpaceDE w:val="0"/>
                    <w:spacing w:after="0" w:line="240" w:lineRule="auto"/>
                    <w:rPr>
                      <w:rFonts w:asciiTheme="minorHAnsi" w:hAnsiTheme="minorHAnsi" w:cstheme="minorHAnsi"/>
                      <w:b/>
                      <w:bCs/>
                      <w:color w:val="000000"/>
                      <w:sz w:val="16"/>
                      <w:szCs w:val="20"/>
                    </w:rPr>
                  </w:pPr>
                </w:p>
                <w:p w:rsidR="000E535F" w:rsidRPr="000E535F" w:rsidRDefault="000E535F" w:rsidP="000E535F">
                  <w:pPr>
                    <w:autoSpaceDE w:val="0"/>
                    <w:spacing w:after="0" w:line="240" w:lineRule="auto"/>
                    <w:rPr>
                      <w:rFonts w:asciiTheme="minorHAnsi" w:hAnsiTheme="minorHAnsi" w:cstheme="minorHAnsi"/>
                      <w:b/>
                      <w:bCs/>
                      <w:color w:val="000000"/>
                      <w:sz w:val="16"/>
                      <w:szCs w:val="20"/>
                    </w:rPr>
                  </w:pPr>
                </w:p>
                <w:p w:rsidR="000E535F" w:rsidRPr="000E535F" w:rsidRDefault="000E535F" w:rsidP="000E535F">
                  <w:pPr>
                    <w:autoSpaceDE w:val="0"/>
                    <w:spacing w:after="0" w:line="240" w:lineRule="auto"/>
                    <w:rPr>
                      <w:rFonts w:asciiTheme="minorHAnsi" w:hAnsiTheme="minorHAnsi" w:cstheme="minorHAnsi"/>
                      <w:color w:val="000000"/>
                      <w:sz w:val="16"/>
                      <w:szCs w:val="20"/>
                    </w:rPr>
                  </w:pPr>
                </w:p>
              </w:tc>
            </w:tr>
          </w:tbl>
          <w:p w:rsidR="000E535F" w:rsidRPr="000E535F" w:rsidRDefault="000E535F" w:rsidP="000E535F">
            <w:pPr>
              <w:rPr>
                <w:rFonts w:asciiTheme="minorHAnsi" w:hAnsiTheme="minorHAnsi" w:cstheme="minorHAnsi"/>
                <w:sz w:val="16"/>
                <w:szCs w:val="20"/>
              </w:rPr>
            </w:pPr>
          </w:p>
        </w:tc>
        <w:tc>
          <w:tcPr>
            <w:tcW w:w="1943"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 xml:space="preserve">Sensibilidad en el lugar de la inyección (a,b) </w:t>
            </w:r>
          </w:p>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Dolor en el lugar de la inyección (a,b)</w:t>
            </w:r>
          </w:p>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 xml:space="preserve">Malestar (a) </w:t>
            </w:r>
          </w:p>
        </w:tc>
        <w:tc>
          <w:tcPr>
            <w:tcW w:w="2481"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 xml:space="preserve">Eritema/ en el lugar de la inyección/enrojecimiento (a,b) </w:t>
            </w:r>
          </w:p>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 xml:space="preserve">Inflamación en el lugar de la inyección/induración (a,b) </w:t>
            </w:r>
          </w:p>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 xml:space="preserve">Escalofríos/tembloresab </w:t>
            </w:r>
          </w:p>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Pirexia/fiebre (a)</w:t>
            </w:r>
          </w:p>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Equimosis en el lugar de la inyección / hematomas (a)</w:t>
            </w:r>
          </w:p>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 xml:space="preserve">Malestar (b) </w:t>
            </w:r>
          </w:p>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 xml:space="preserve">Reactogenicidad (c) </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0"/>
              </w:rPr>
            </w:pPr>
            <w:r w:rsidRPr="000E535F">
              <w:rPr>
                <w:rFonts w:asciiTheme="minorHAnsi" w:hAnsiTheme="minorHAnsi" w:cstheme="minorHAnsi"/>
                <w:sz w:val="16"/>
                <w:szCs w:val="20"/>
              </w:rPr>
              <w:t xml:space="preserve">Pirexia/fiebre (b) </w:t>
            </w:r>
          </w:p>
          <w:p w:rsidR="000E535F" w:rsidRPr="000E535F" w:rsidRDefault="000E535F" w:rsidP="000E535F">
            <w:pPr>
              <w:pStyle w:val="WW-Default"/>
              <w:rPr>
                <w:rFonts w:asciiTheme="minorHAnsi" w:hAnsiTheme="minorHAnsi" w:cstheme="minorHAnsi"/>
                <w:sz w:val="16"/>
              </w:rPr>
            </w:pPr>
            <w:r w:rsidRPr="000E535F">
              <w:rPr>
                <w:rFonts w:asciiTheme="minorHAnsi" w:hAnsiTheme="minorHAnsi" w:cstheme="minorHAnsi"/>
                <w:sz w:val="16"/>
                <w:szCs w:val="20"/>
              </w:rPr>
              <w:t xml:space="preserve">Equimosis en el lugar de inyección/hematomas (b) </w:t>
            </w:r>
          </w:p>
        </w:tc>
      </w:tr>
    </w:tbl>
    <w:p w:rsidR="000E535F" w:rsidRPr="000E535F" w:rsidRDefault="000E535F" w:rsidP="000E535F">
      <w:pPr>
        <w:pStyle w:val="WW-Default"/>
        <w:jc w:val="both"/>
        <w:rPr>
          <w:rFonts w:asciiTheme="minorHAnsi" w:hAnsiTheme="minorHAnsi" w:cstheme="minorHAnsi"/>
          <w:sz w:val="18"/>
          <w:szCs w:val="20"/>
        </w:rPr>
      </w:pPr>
    </w:p>
    <w:p w:rsidR="000E535F" w:rsidRPr="000E535F" w:rsidRDefault="000E535F" w:rsidP="000E535F">
      <w:pPr>
        <w:pStyle w:val="WW-Default"/>
        <w:jc w:val="both"/>
        <w:rPr>
          <w:rFonts w:asciiTheme="minorHAnsi" w:hAnsiTheme="minorHAnsi" w:cstheme="minorHAnsi"/>
          <w:sz w:val="11"/>
          <w:szCs w:val="13"/>
        </w:rPr>
      </w:pPr>
      <w:r w:rsidRPr="000E535F">
        <w:rPr>
          <w:rFonts w:asciiTheme="minorHAnsi" w:hAnsiTheme="minorHAnsi" w:cstheme="minorHAnsi"/>
          <w:sz w:val="18"/>
          <w:szCs w:val="20"/>
        </w:rPr>
        <w:t xml:space="preserve">*Las reacciones adversas locales y los acontecimientos adversos sistémicos no solicitados, se categorizaron como Raros (≥ 1/10.000 &lt;1/1.000), o Muy raros (&lt;1/10.000). </w:t>
      </w:r>
    </w:p>
    <w:p w:rsidR="000E535F" w:rsidRPr="000E535F" w:rsidRDefault="000E535F" w:rsidP="000E535F">
      <w:pPr>
        <w:pStyle w:val="WW-Default"/>
        <w:jc w:val="both"/>
        <w:rPr>
          <w:rFonts w:asciiTheme="minorHAnsi" w:hAnsiTheme="minorHAnsi" w:cstheme="minorHAnsi"/>
          <w:sz w:val="11"/>
          <w:szCs w:val="13"/>
        </w:rPr>
      </w:pPr>
      <w:r w:rsidRPr="000E535F">
        <w:rPr>
          <w:rFonts w:asciiTheme="minorHAnsi" w:hAnsiTheme="minorHAnsi" w:cstheme="minorHAnsi"/>
          <w:sz w:val="11"/>
          <w:szCs w:val="13"/>
        </w:rPr>
        <w:t xml:space="preserve">a </w:t>
      </w:r>
      <w:r w:rsidRPr="000E535F">
        <w:rPr>
          <w:rFonts w:asciiTheme="minorHAnsi" w:hAnsiTheme="minorHAnsi" w:cstheme="minorHAnsi"/>
          <w:sz w:val="18"/>
          <w:szCs w:val="20"/>
        </w:rPr>
        <w:t xml:space="preserve">Reacciones adversas locales o acontecimientos adversos sistémicos solicitados en adultos de 18 &lt; 65 años. </w:t>
      </w:r>
    </w:p>
    <w:p w:rsidR="000E535F" w:rsidRPr="000E535F" w:rsidRDefault="000E535F" w:rsidP="000E535F">
      <w:pPr>
        <w:pStyle w:val="WW-Default"/>
        <w:jc w:val="both"/>
        <w:rPr>
          <w:rFonts w:asciiTheme="minorHAnsi" w:hAnsiTheme="minorHAnsi" w:cstheme="minorHAnsi"/>
          <w:sz w:val="11"/>
          <w:szCs w:val="13"/>
        </w:rPr>
      </w:pPr>
      <w:r w:rsidRPr="000E535F">
        <w:rPr>
          <w:rFonts w:asciiTheme="minorHAnsi" w:hAnsiTheme="minorHAnsi" w:cstheme="minorHAnsi"/>
          <w:sz w:val="11"/>
          <w:szCs w:val="13"/>
        </w:rPr>
        <w:t xml:space="preserve">b </w:t>
      </w:r>
      <w:r w:rsidRPr="000E535F">
        <w:rPr>
          <w:rFonts w:asciiTheme="minorHAnsi" w:hAnsiTheme="minorHAnsi" w:cstheme="minorHAnsi"/>
          <w:sz w:val="18"/>
          <w:szCs w:val="20"/>
        </w:rPr>
        <w:t xml:space="preserve">Reacciones adversas locales o acontecimientos adversos sistémicos solicitados en personas de edad avanzada de ≥ 65 años. </w:t>
      </w:r>
    </w:p>
    <w:p w:rsidR="000E535F" w:rsidRPr="000E535F" w:rsidRDefault="000E535F" w:rsidP="000E535F">
      <w:pPr>
        <w:pStyle w:val="WW-Default"/>
        <w:jc w:val="both"/>
        <w:rPr>
          <w:rFonts w:asciiTheme="minorHAnsi" w:hAnsiTheme="minorHAnsi" w:cstheme="minorHAnsi"/>
          <w:sz w:val="18"/>
          <w:szCs w:val="20"/>
        </w:rPr>
      </w:pPr>
      <w:r w:rsidRPr="000E535F">
        <w:rPr>
          <w:rFonts w:asciiTheme="minorHAnsi" w:hAnsiTheme="minorHAnsi" w:cstheme="minorHAnsi"/>
          <w:sz w:val="11"/>
          <w:szCs w:val="13"/>
        </w:rPr>
        <w:t xml:space="preserve">C </w:t>
      </w:r>
      <w:r w:rsidRPr="000E535F">
        <w:rPr>
          <w:rFonts w:asciiTheme="minorHAnsi" w:hAnsiTheme="minorHAnsi" w:cstheme="minorHAnsi"/>
          <w:sz w:val="18"/>
          <w:szCs w:val="20"/>
        </w:rPr>
        <w:t>Acontecimientos adversos relacionados no solicitados</w:t>
      </w:r>
    </w:p>
    <w:p w:rsidR="000E535F" w:rsidRPr="000E535F" w:rsidRDefault="000E535F" w:rsidP="000E535F">
      <w:pPr>
        <w:pStyle w:val="WW-Default"/>
        <w:jc w:val="both"/>
        <w:rPr>
          <w:rFonts w:asciiTheme="minorHAnsi" w:hAnsiTheme="minorHAnsi" w:cstheme="minorHAnsi"/>
          <w:sz w:val="18"/>
          <w:szCs w:val="20"/>
        </w:rPr>
      </w:pPr>
    </w:p>
    <w:p w:rsidR="000E535F" w:rsidRPr="000E535F" w:rsidRDefault="000E535F" w:rsidP="000E535F">
      <w:pPr>
        <w:pStyle w:val="WW-Default"/>
        <w:jc w:val="both"/>
        <w:rPr>
          <w:rFonts w:asciiTheme="minorHAnsi" w:hAnsiTheme="minorHAnsi" w:cstheme="minorHAnsi"/>
          <w:i/>
          <w:iCs/>
          <w:sz w:val="20"/>
          <w:szCs w:val="22"/>
        </w:rPr>
      </w:pPr>
      <w:r w:rsidRPr="000E535F">
        <w:rPr>
          <w:rFonts w:asciiTheme="minorHAnsi" w:hAnsiTheme="minorHAnsi" w:cstheme="minorHAnsi"/>
          <w:b/>
          <w:bCs/>
          <w:sz w:val="20"/>
          <w:szCs w:val="22"/>
        </w:rPr>
        <w:t xml:space="preserve">Población pediátrica </w:t>
      </w:r>
    </w:p>
    <w:p w:rsidR="000E535F" w:rsidRPr="000E535F" w:rsidRDefault="000E535F" w:rsidP="000E535F">
      <w:pPr>
        <w:pStyle w:val="WW-Default"/>
        <w:jc w:val="both"/>
        <w:rPr>
          <w:rFonts w:asciiTheme="minorHAnsi" w:hAnsiTheme="minorHAnsi" w:cstheme="minorHAnsi"/>
          <w:sz w:val="22"/>
          <w:szCs w:val="23"/>
        </w:rPr>
      </w:pPr>
      <w:r w:rsidRPr="000E535F">
        <w:rPr>
          <w:rFonts w:asciiTheme="minorHAnsi" w:hAnsiTheme="minorHAnsi" w:cstheme="minorHAnsi"/>
          <w:i/>
          <w:iCs/>
          <w:sz w:val="20"/>
          <w:szCs w:val="22"/>
        </w:rPr>
        <w:t xml:space="preserve">Resumen del perfil de seguridad </w:t>
      </w:r>
    </w:p>
    <w:p w:rsidR="000E535F" w:rsidRPr="000E535F" w:rsidRDefault="000E535F" w:rsidP="000E535F">
      <w:pPr>
        <w:pStyle w:val="WW-Default"/>
        <w:jc w:val="both"/>
        <w:rPr>
          <w:rFonts w:asciiTheme="minorHAnsi" w:hAnsiTheme="minorHAnsi" w:cstheme="minorHAnsi"/>
          <w:sz w:val="22"/>
          <w:szCs w:val="23"/>
        </w:rPr>
      </w:pPr>
      <w:r w:rsidRPr="000E535F">
        <w:rPr>
          <w:rFonts w:asciiTheme="minorHAnsi" w:hAnsiTheme="minorHAnsi" w:cstheme="minorHAnsi"/>
          <w:sz w:val="22"/>
          <w:szCs w:val="23"/>
        </w:rPr>
        <w:t>En los ensayos clínicos, AFLURIA se ha administrado a 3.009 niños de edades comprendidas entre 6 meses a menos de 18 años y se ha recogido la información sobre seguridad La exposición incluye 1.601 niños de 6 meses a menos de 5 años, 756 niños de 5 años a menos de 9 años y 652 niños de 9 años a menos de 18 años. Los datos de seguridad clínica para AFLURIA en niños se han evaluado en 3 ensayos clínicos; un ensayo controlado con comparador (CSLCT-USF-07-36) y dos ensayos abiertos, no controlados (CSLCT-USF-06-29 y CSLCT-FLU-04-05). Los niños con edades comprendidas entre 6 meses a menos de 9 años, recibieron una o dos vacunas, según estaba determinado en su historial previo de vacunación.</w:t>
      </w:r>
    </w:p>
    <w:p w:rsidR="000E535F" w:rsidRPr="000E535F" w:rsidRDefault="000E535F" w:rsidP="000E535F">
      <w:pPr>
        <w:pStyle w:val="WW-Default"/>
        <w:jc w:val="both"/>
        <w:rPr>
          <w:rFonts w:asciiTheme="minorHAnsi" w:hAnsiTheme="minorHAnsi" w:cstheme="minorHAnsi"/>
          <w:sz w:val="22"/>
          <w:szCs w:val="23"/>
        </w:rPr>
      </w:pPr>
      <w:r w:rsidRPr="000E535F">
        <w:rPr>
          <w:rFonts w:asciiTheme="minorHAnsi" w:hAnsiTheme="minorHAnsi" w:cstheme="minorHAnsi"/>
          <w:sz w:val="22"/>
          <w:szCs w:val="23"/>
        </w:rPr>
        <w:t xml:space="preserve">La evaluación de seguridad fue similar para los tres ensayos pediátricos. Los acontecimientos adversos locales (lugar de la inyección) y sistémicos fueron solicitados durante 7 días después de la vacunación. Los acontecimientos adversos no solicitados se recogieron durante 30 días después de la vacunación. </w:t>
      </w:r>
    </w:p>
    <w:p w:rsidR="000E535F" w:rsidRPr="000E535F" w:rsidRDefault="000E535F" w:rsidP="000E535F">
      <w:pPr>
        <w:pStyle w:val="WW-Default"/>
        <w:jc w:val="both"/>
        <w:rPr>
          <w:rFonts w:asciiTheme="minorHAnsi" w:hAnsiTheme="minorHAnsi" w:cstheme="minorHAnsi"/>
          <w:sz w:val="22"/>
          <w:szCs w:val="23"/>
        </w:rPr>
      </w:pPr>
      <w:r w:rsidRPr="000E535F">
        <w:rPr>
          <w:rFonts w:asciiTheme="minorHAnsi" w:hAnsiTheme="minorHAnsi" w:cstheme="minorHAnsi"/>
          <w:sz w:val="22"/>
          <w:szCs w:val="23"/>
        </w:rPr>
        <w:t xml:space="preserve">En niños de 5 años hasta menos de 9 años que recibieron AFLURIA en el ensayo controlado con comparador, la tasa de malestar después de la dosis 1, fue del 24% comparado con el 13% en los que recibieron el comparador, y la tasa de diarrea después de la dosis 2 fue del 13%, comparado con el 6% en los que recibieron el comparador. En el mismo ensayo, la tasa de fiebre después de la primera dosis de AFLURIA en niños de edades comprendidas entre 5 y menos de 9 años fue del 16%, comparado con el 8% en niños que recibieron el comparador. La tasa de fiebre en niños de 9 años a menos de 18 años después de una dosis única de AFLURIA, fue del 6% comparado con el 4% en niños que recibieron el comparador. </w:t>
      </w:r>
    </w:p>
    <w:p w:rsidR="000E535F" w:rsidRPr="000E535F" w:rsidRDefault="000E535F" w:rsidP="000E535F">
      <w:pPr>
        <w:pStyle w:val="WW-Default"/>
        <w:jc w:val="both"/>
        <w:rPr>
          <w:rFonts w:asciiTheme="minorHAnsi" w:hAnsiTheme="minorHAnsi" w:cstheme="minorHAnsi"/>
          <w:sz w:val="22"/>
          <w:szCs w:val="23"/>
        </w:rPr>
      </w:pPr>
      <w:r w:rsidRPr="000E535F">
        <w:rPr>
          <w:rFonts w:asciiTheme="minorHAnsi" w:hAnsiTheme="minorHAnsi" w:cstheme="minorHAnsi"/>
          <w:sz w:val="22"/>
          <w:szCs w:val="23"/>
        </w:rPr>
        <w:t>A lo largo de los ensayos clínicos pediátricos, el eritema se comunicó más a menudo en niños de 5 a menos de 9 años comparado a los niños de 9 a 18 años después de una dosis única (23% vs 17% en el ensayo controlado con comparador; 24% vs 17% en los ensayos abiertos). En contraste, el dolor de cabeza fue menos frecuentemente comunicado en niños de 5 a menos de 9 años comparado con niños de 9 a menos de 18 años después de una dosis única (21% vs 27% en el ensayo controlado con comparador; 16% vs 27% en los ensayos abiertos). En niños de 5 a menos de 9 años, las reacciones adversas se comunicaron menos frecuentemente después de la dosis 2 que de la dosis 1. En los ensayos pediátricos no hubo muertes ni acontecimientos adversos graves relacionados con la vacuna, en este grupo de edad.</w:t>
      </w:r>
    </w:p>
    <w:p w:rsidR="000E535F" w:rsidRPr="000E535F" w:rsidRDefault="000E535F" w:rsidP="000E535F">
      <w:pPr>
        <w:pStyle w:val="WW-Default"/>
        <w:jc w:val="both"/>
        <w:rPr>
          <w:rFonts w:asciiTheme="minorHAnsi" w:hAnsiTheme="minorHAnsi" w:cstheme="minorHAnsi"/>
          <w:sz w:val="22"/>
          <w:szCs w:val="23"/>
        </w:rPr>
      </w:pPr>
      <w:r w:rsidRPr="000E535F">
        <w:rPr>
          <w:rFonts w:asciiTheme="minorHAnsi" w:hAnsiTheme="minorHAnsi" w:cstheme="minorHAnsi"/>
          <w:sz w:val="22"/>
          <w:szCs w:val="23"/>
        </w:rPr>
        <w:lastRenderedPageBreak/>
        <w:t xml:space="preserve">La frecuencia de las reacciones adversas locales y acontecimientos adversos sistémicos solicitados, y acontecimientos adversos relacionados no solicitados, se presentan de acuerdo con el Sistema de clasificación de órganos y frecuencia MedDRA (Tabla 2) para niños de 5 años y mayores, consistente con la indicación actual de edad para AFLURIA. </w:t>
      </w:r>
    </w:p>
    <w:p w:rsidR="000E535F" w:rsidRPr="000E535F" w:rsidRDefault="000E535F" w:rsidP="000E535F">
      <w:pPr>
        <w:pStyle w:val="WW-Default"/>
        <w:jc w:val="both"/>
        <w:rPr>
          <w:rFonts w:asciiTheme="minorHAnsi" w:hAnsiTheme="minorHAnsi" w:cstheme="minorHAnsi"/>
          <w:i/>
          <w:iCs/>
          <w:sz w:val="22"/>
          <w:szCs w:val="23"/>
        </w:rPr>
      </w:pPr>
      <w:r w:rsidRPr="000E535F">
        <w:rPr>
          <w:rFonts w:asciiTheme="minorHAnsi" w:hAnsiTheme="minorHAnsi" w:cstheme="minorHAnsi"/>
          <w:sz w:val="22"/>
          <w:szCs w:val="23"/>
        </w:rPr>
        <w:t xml:space="preserve">Para niños de edades comprendidas entre 5 y menos de 9 años, los acontecimientos adversos no solicitados comunicados con mayor frecuencia en estos tres ensayos clínicos fueron tos (3,5%), infecciones del tracto respiratorio superior (2,9%), rinitis (2,2%) y rinorrea (2,2%). En niños de 9 años hasta menos de 18 años, los acontecimientos adversos no solicitados comunicados con mayor frecuencia a lo largo de los tres ensayos clínicos fueron tos (2,8%), dolor orofaríngeo (2,4%) y congestión nasal (2,4%). </w:t>
      </w:r>
    </w:p>
    <w:p w:rsidR="000E535F" w:rsidRPr="000E535F" w:rsidRDefault="000E535F" w:rsidP="000E535F">
      <w:pPr>
        <w:pStyle w:val="WW-Default"/>
        <w:jc w:val="both"/>
        <w:rPr>
          <w:rFonts w:asciiTheme="minorHAnsi" w:hAnsiTheme="minorHAnsi" w:cstheme="minorHAnsi"/>
          <w:i/>
          <w:iCs/>
          <w:sz w:val="22"/>
          <w:szCs w:val="23"/>
        </w:rPr>
      </w:pP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i/>
          <w:iCs/>
          <w:sz w:val="22"/>
          <w:szCs w:val="23"/>
        </w:rPr>
        <w:t xml:space="preserve">Tabla de reacciones adversas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b/>
          <w:bCs/>
          <w:sz w:val="20"/>
          <w:szCs w:val="22"/>
        </w:rPr>
        <w:t>Tabla 2: Reacciones adversas locales y acontecimientos adversos sistémicos solicitados, y acontecimientos adversos relacionados no solicitados, según el Sistema de clasificación de órganos MedDRA y la categoría de frecuencias en niños entre 5 y 18 años.</w:t>
      </w:r>
    </w:p>
    <w:p w:rsidR="000E535F" w:rsidRPr="000E535F" w:rsidRDefault="000E535F" w:rsidP="000E535F">
      <w:pPr>
        <w:pStyle w:val="WW-Default"/>
        <w:jc w:val="both"/>
        <w:rPr>
          <w:rFonts w:asciiTheme="minorHAnsi" w:hAnsiTheme="minorHAnsi" w:cstheme="minorHAnsi"/>
          <w:b/>
          <w:bCs/>
          <w:sz w:val="20"/>
          <w:szCs w:val="22"/>
        </w:rPr>
      </w:pPr>
    </w:p>
    <w:tbl>
      <w:tblPr>
        <w:tblW w:w="10574" w:type="dxa"/>
        <w:tblInd w:w="-5" w:type="dxa"/>
        <w:tblLayout w:type="fixed"/>
        <w:tblLook w:val="0000" w:firstRow="0" w:lastRow="0" w:firstColumn="0" w:lastColumn="0" w:noHBand="0" w:noVBand="0"/>
      </w:tblPr>
      <w:tblGrid>
        <w:gridCol w:w="3119"/>
        <w:gridCol w:w="2551"/>
        <w:gridCol w:w="4904"/>
      </w:tblGrid>
      <w:tr w:rsidR="000E535F" w:rsidRPr="000E535F" w:rsidTr="000E535F">
        <w:tc>
          <w:tcPr>
            <w:tcW w:w="3119"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2976"/>
            </w:tblGrid>
            <w:tr w:rsidR="000E535F" w:rsidRPr="000E535F" w:rsidTr="000E535F">
              <w:trPr>
                <w:trHeight w:val="389"/>
              </w:trPr>
              <w:tc>
                <w:tcPr>
                  <w:tcW w:w="2976" w:type="dxa"/>
                  <w:shd w:val="clear" w:color="auto" w:fill="auto"/>
                </w:tcPr>
                <w:p w:rsidR="000E535F" w:rsidRPr="000E535F" w:rsidRDefault="000E535F" w:rsidP="000E535F">
                  <w:pPr>
                    <w:autoSpaceDE w:val="0"/>
                    <w:spacing w:after="0" w:line="240" w:lineRule="auto"/>
                    <w:rPr>
                      <w:rFonts w:asciiTheme="minorHAnsi" w:hAnsiTheme="minorHAnsi" w:cstheme="minorHAnsi"/>
                      <w:sz w:val="16"/>
                    </w:rPr>
                  </w:pPr>
                  <w:r w:rsidRPr="000E535F">
                    <w:rPr>
                      <w:rFonts w:asciiTheme="minorHAnsi" w:hAnsiTheme="minorHAnsi" w:cstheme="minorHAnsi"/>
                      <w:b/>
                      <w:bCs/>
                      <w:color w:val="000000"/>
                      <w:sz w:val="16"/>
                    </w:rPr>
                    <w:t xml:space="preserve">Sistema de clasificación de órganos </w:t>
                  </w:r>
                </w:p>
              </w:tc>
            </w:tr>
          </w:tbl>
          <w:p w:rsidR="000E535F" w:rsidRPr="000E535F" w:rsidRDefault="000E535F" w:rsidP="000E535F">
            <w:pPr>
              <w:rPr>
                <w:rFonts w:asciiTheme="minorHAnsi" w:hAnsiTheme="minorHAnsi" w:cstheme="minorHAnsi"/>
                <w:b/>
                <w:bCs/>
                <w:color w:val="000000"/>
                <w:sz w:val="16"/>
              </w:rPr>
            </w:pPr>
          </w:p>
        </w:tc>
        <w:tc>
          <w:tcPr>
            <w:tcW w:w="2551"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2248"/>
            </w:tblGrid>
            <w:tr w:rsidR="000E535F" w:rsidRPr="000E535F" w:rsidTr="000E535F">
              <w:trPr>
                <w:trHeight w:val="107"/>
              </w:trPr>
              <w:tc>
                <w:tcPr>
                  <w:tcW w:w="2248" w:type="dxa"/>
                  <w:shd w:val="clear" w:color="auto" w:fill="auto"/>
                </w:tcPr>
                <w:p w:rsidR="000E535F" w:rsidRPr="000E535F" w:rsidRDefault="000E535F" w:rsidP="000E535F">
                  <w:pPr>
                    <w:autoSpaceDE w:val="0"/>
                    <w:spacing w:after="0" w:line="240" w:lineRule="auto"/>
                    <w:rPr>
                      <w:rFonts w:asciiTheme="minorHAnsi" w:hAnsiTheme="minorHAnsi" w:cstheme="minorHAnsi"/>
                      <w:sz w:val="16"/>
                    </w:rPr>
                  </w:pPr>
                  <w:r w:rsidRPr="000E535F">
                    <w:rPr>
                      <w:rFonts w:asciiTheme="minorHAnsi" w:hAnsiTheme="minorHAnsi" w:cstheme="minorHAnsi"/>
                      <w:b/>
                      <w:bCs/>
                      <w:color w:val="000000"/>
                      <w:sz w:val="16"/>
                    </w:rPr>
                    <w:t xml:space="preserve">Muy frecuentes &gt;1/10 </w:t>
                  </w:r>
                </w:p>
              </w:tc>
            </w:tr>
          </w:tbl>
          <w:p w:rsidR="000E535F" w:rsidRPr="000E535F" w:rsidRDefault="000E535F" w:rsidP="000E535F">
            <w:pPr>
              <w:rPr>
                <w:rFonts w:asciiTheme="minorHAnsi" w:hAnsiTheme="minorHAnsi" w:cstheme="minorHAnsi"/>
                <w:b/>
                <w:bCs/>
                <w:sz w:val="16"/>
              </w:rPr>
            </w:pPr>
          </w:p>
        </w:tc>
        <w:tc>
          <w:tcPr>
            <w:tcW w:w="4904"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rPr>
                <w:rFonts w:asciiTheme="minorHAnsi" w:hAnsiTheme="minorHAnsi" w:cstheme="minorHAnsi"/>
                <w:b/>
                <w:bCs/>
                <w:sz w:val="16"/>
                <w:szCs w:val="22"/>
              </w:rPr>
            </w:pPr>
            <w:r w:rsidRPr="000E535F">
              <w:rPr>
                <w:rFonts w:asciiTheme="minorHAnsi" w:hAnsiTheme="minorHAnsi" w:cstheme="minorHAnsi"/>
                <w:b/>
                <w:bCs/>
                <w:sz w:val="16"/>
                <w:szCs w:val="22"/>
              </w:rPr>
              <w:t xml:space="preserve">Frecuentes </w:t>
            </w:r>
          </w:p>
          <w:p w:rsidR="000E535F" w:rsidRPr="000E535F" w:rsidRDefault="000E535F" w:rsidP="000E535F">
            <w:pPr>
              <w:pStyle w:val="WW-Default"/>
              <w:rPr>
                <w:rFonts w:asciiTheme="minorHAnsi" w:hAnsiTheme="minorHAnsi" w:cstheme="minorHAnsi"/>
                <w:sz w:val="16"/>
              </w:rPr>
            </w:pPr>
            <w:r w:rsidRPr="000E535F">
              <w:rPr>
                <w:rFonts w:asciiTheme="minorHAnsi" w:hAnsiTheme="minorHAnsi" w:cstheme="minorHAnsi"/>
                <w:b/>
                <w:bCs/>
                <w:sz w:val="16"/>
                <w:szCs w:val="22"/>
              </w:rPr>
              <w:t xml:space="preserve">≥1/100 a &lt;1/10 </w:t>
            </w:r>
          </w:p>
        </w:tc>
      </w:tr>
      <w:tr w:rsidR="000E535F" w:rsidRPr="000E535F" w:rsidTr="000E535F">
        <w:tc>
          <w:tcPr>
            <w:tcW w:w="3119"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b/>
                <w:bCs/>
                <w:sz w:val="16"/>
                <w:szCs w:val="22"/>
              </w:rPr>
              <w:t xml:space="preserve">Infecciones e infestaciones </w:t>
            </w:r>
          </w:p>
          <w:p w:rsidR="000E535F" w:rsidRPr="000E535F" w:rsidRDefault="000E535F" w:rsidP="000E535F">
            <w:pPr>
              <w:pStyle w:val="WW-Default"/>
              <w:rPr>
                <w:rFonts w:asciiTheme="minorHAnsi" w:hAnsiTheme="minorHAnsi" w:cstheme="minorHAnsi"/>
                <w:sz w:val="16"/>
                <w:szCs w:val="22"/>
              </w:rPr>
            </w:pPr>
          </w:p>
        </w:tc>
        <w:tc>
          <w:tcPr>
            <w:tcW w:w="2551"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snapToGrid w:val="0"/>
              <w:rPr>
                <w:rFonts w:asciiTheme="minorHAnsi" w:hAnsiTheme="minorHAnsi" w:cstheme="minorHAnsi"/>
                <w:sz w:val="16"/>
                <w:szCs w:val="22"/>
              </w:rPr>
            </w:pPr>
          </w:p>
        </w:tc>
        <w:tc>
          <w:tcPr>
            <w:tcW w:w="4904"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Infecciones del tracto respiratorio superior (c)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Rinitis (c)</w:t>
            </w:r>
          </w:p>
          <w:p w:rsidR="000E535F" w:rsidRPr="000E535F" w:rsidRDefault="000E535F" w:rsidP="000E535F">
            <w:pPr>
              <w:pStyle w:val="WW-Default"/>
              <w:rPr>
                <w:rFonts w:asciiTheme="minorHAnsi" w:hAnsiTheme="minorHAnsi" w:cstheme="minorHAnsi"/>
                <w:sz w:val="16"/>
              </w:rPr>
            </w:pPr>
            <w:r w:rsidRPr="000E535F">
              <w:rPr>
                <w:rFonts w:asciiTheme="minorHAnsi" w:hAnsiTheme="minorHAnsi" w:cstheme="minorHAnsi"/>
                <w:sz w:val="16"/>
                <w:szCs w:val="22"/>
              </w:rPr>
              <w:t xml:space="preserve">Nasofaringitis (c) </w:t>
            </w:r>
          </w:p>
        </w:tc>
      </w:tr>
      <w:tr w:rsidR="000E535F" w:rsidRPr="000E535F" w:rsidTr="000E535F">
        <w:tc>
          <w:tcPr>
            <w:tcW w:w="3119"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b/>
                <w:bCs/>
                <w:sz w:val="16"/>
                <w:szCs w:val="22"/>
              </w:rPr>
            </w:pPr>
            <w:r w:rsidRPr="000E535F">
              <w:rPr>
                <w:rFonts w:asciiTheme="minorHAnsi" w:hAnsiTheme="minorHAnsi" w:cstheme="minorHAnsi"/>
                <w:b/>
                <w:bCs/>
                <w:sz w:val="16"/>
                <w:szCs w:val="22"/>
              </w:rPr>
              <w:t xml:space="preserve">Trastornos del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b/>
                <w:bCs/>
                <w:sz w:val="16"/>
                <w:szCs w:val="22"/>
              </w:rPr>
              <w:t xml:space="preserve">sistema nervioso </w:t>
            </w:r>
          </w:p>
          <w:p w:rsidR="000E535F" w:rsidRPr="000E535F" w:rsidRDefault="000E535F" w:rsidP="000E535F">
            <w:pPr>
              <w:pStyle w:val="WW-Default"/>
              <w:rPr>
                <w:rFonts w:asciiTheme="minorHAnsi" w:hAnsiTheme="minorHAnsi" w:cstheme="minorHAnsi"/>
                <w:sz w:val="16"/>
                <w:szCs w:val="22"/>
              </w:rPr>
            </w:pPr>
          </w:p>
        </w:tc>
        <w:tc>
          <w:tcPr>
            <w:tcW w:w="2551"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Dolor de cabeza </w:t>
            </w:r>
          </w:p>
          <w:p w:rsidR="000E535F" w:rsidRPr="000E535F" w:rsidRDefault="000E535F" w:rsidP="000E535F">
            <w:pPr>
              <w:pStyle w:val="WW-Default"/>
              <w:rPr>
                <w:rFonts w:asciiTheme="minorHAnsi" w:hAnsiTheme="minorHAnsi" w:cstheme="minorHAnsi"/>
                <w:sz w:val="16"/>
                <w:szCs w:val="22"/>
              </w:rPr>
            </w:pPr>
          </w:p>
        </w:tc>
        <w:tc>
          <w:tcPr>
            <w:tcW w:w="4904"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Dolor de cabeza (c) </w:t>
            </w:r>
          </w:p>
          <w:p w:rsidR="000E535F" w:rsidRPr="000E535F" w:rsidRDefault="000E535F" w:rsidP="000E535F">
            <w:pPr>
              <w:pStyle w:val="WW-Default"/>
              <w:rPr>
                <w:rFonts w:asciiTheme="minorHAnsi" w:hAnsiTheme="minorHAnsi" w:cstheme="minorHAnsi"/>
                <w:sz w:val="16"/>
                <w:szCs w:val="22"/>
              </w:rPr>
            </w:pPr>
          </w:p>
        </w:tc>
      </w:tr>
      <w:tr w:rsidR="000E535F" w:rsidRPr="000E535F" w:rsidTr="000E535F">
        <w:tc>
          <w:tcPr>
            <w:tcW w:w="3119"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b/>
                <w:bCs/>
                <w:sz w:val="16"/>
                <w:szCs w:val="22"/>
              </w:rPr>
              <w:t xml:space="preserve">Trastornos respiratorios, torácicos y mediastínicos </w:t>
            </w:r>
          </w:p>
          <w:p w:rsidR="000E535F" w:rsidRPr="000E535F" w:rsidRDefault="000E535F" w:rsidP="000E535F">
            <w:pPr>
              <w:pStyle w:val="WW-Default"/>
              <w:rPr>
                <w:rFonts w:asciiTheme="minorHAnsi" w:hAnsiTheme="minorHAnsi" w:cstheme="minorHAnsi"/>
                <w:sz w:val="16"/>
                <w:szCs w:val="22"/>
              </w:rPr>
            </w:pPr>
          </w:p>
        </w:tc>
        <w:tc>
          <w:tcPr>
            <w:tcW w:w="2551"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snapToGrid w:val="0"/>
              <w:rPr>
                <w:rFonts w:asciiTheme="minorHAnsi" w:hAnsiTheme="minorHAnsi" w:cstheme="minorHAnsi"/>
                <w:sz w:val="16"/>
                <w:szCs w:val="22"/>
              </w:rPr>
            </w:pPr>
          </w:p>
        </w:tc>
        <w:tc>
          <w:tcPr>
            <w:tcW w:w="4904"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Tos (c,d)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Dolor orofaríngeo (c,d)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Congestión nasal (c)</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Rinorrea (c) </w:t>
            </w:r>
          </w:p>
          <w:p w:rsidR="000E535F" w:rsidRPr="000E535F" w:rsidRDefault="000E535F" w:rsidP="000E535F">
            <w:pPr>
              <w:pStyle w:val="WW-Default"/>
              <w:rPr>
                <w:rFonts w:asciiTheme="minorHAnsi" w:hAnsiTheme="minorHAnsi" w:cstheme="minorHAnsi"/>
                <w:sz w:val="16"/>
              </w:rPr>
            </w:pPr>
            <w:r w:rsidRPr="000E535F">
              <w:rPr>
                <w:rFonts w:asciiTheme="minorHAnsi" w:hAnsiTheme="minorHAnsi" w:cstheme="minorHAnsi"/>
                <w:sz w:val="16"/>
                <w:szCs w:val="22"/>
              </w:rPr>
              <w:t xml:space="preserve">Dolor faringolaríngeo (c) </w:t>
            </w:r>
          </w:p>
        </w:tc>
      </w:tr>
      <w:tr w:rsidR="000E535F" w:rsidRPr="000E535F" w:rsidTr="000E535F">
        <w:tc>
          <w:tcPr>
            <w:tcW w:w="3119"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b/>
                <w:bCs/>
                <w:sz w:val="16"/>
                <w:szCs w:val="22"/>
              </w:rPr>
              <w:t xml:space="preserve">Trastornos gastrointestinales </w:t>
            </w:r>
          </w:p>
          <w:p w:rsidR="000E535F" w:rsidRPr="000E535F" w:rsidRDefault="000E535F" w:rsidP="000E535F">
            <w:pPr>
              <w:pStyle w:val="WW-Default"/>
              <w:rPr>
                <w:rFonts w:asciiTheme="minorHAnsi" w:hAnsiTheme="minorHAnsi" w:cstheme="minorHAnsi"/>
                <w:sz w:val="16"/>
                <w:szCs w:val="22"/>
              </w:rPr>
            </w:pPr>
          </w:p>
        </w:tc>
        <w:tc>
          <w:tcPr>
            <w:tcW w:w="2551"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snapToGrid w:val="0"/>
              <w:rPr>
                <w:rFonts w:asciiTheme="minorHAnsi" w:hAnsiTheme="minorHAnsi" w:cstheme="minorHAnsi"/>
                <w:sz w:val="16"/>
                <w:szCs w:val="22"/>
              </w:rPr>
            </w:pPr>
          </w:p>
        </w:tc>
        <w:tc>
          <w:tcPr>
            <w:tcW w:w="4904"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Náuseas/vómitos (a)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Diarrea (a)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Pérdida de apetito (b)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Vómitos/diarrea (b)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Dolor abdominal superior (c) </w:t>
            </w:r>
          </w:p>
          <w:p w:rsidR="000E535F" w:rsidRPr="000E535F" w:rsidRDefault="000E535F" w:rsidP="000E535F">
            <w:pPr>
              <w:pStyle w:val="WW-Default"/>
              <w:rPr>
                <w:rFonts w:asciiTheme="minorHAnsi" w:hAnsiTheme="minorHAnsi" w:cstheme="minorHAnsi"/>
                <w:sz w:val="16"/>
              </w:rPr>
            </w:pPr>
            <w:r w:rsidRPr="000E535F">
              <w:rPr>
                <w:rFonts w:asciiTheme="minorHAnsi" w:hAnsiTheme="minorHAnsi" w:cstheme="minorHAnsi"/>
                <w:sz w:val="16"/>
                <w:szCs w:val="22"/>
              </w:rPr>
              <w:t xml:space="preserve">Dolor abdominal (c) </w:t>
            </w:r>
          </w:p>
        </w:tc>
      </w:tr>
      <w:tr w:rsidR="000E535F" w:rsidRPr="000E535F" w:rsidTr="000E535F">
        <w:tc>
          <w:tcPr>
            <w:tcW w:w="3119"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b/>
                <w:bCs/>
                <w:sz w:val="16"/>
                <w:szCs w:val="22"/>
              </w:rPr>
              <w:t xml:space="preserve">Trastornos músculo- esqueléticos y del tejido conjuntivo </w:t>
            </w:r>
          </w:p>
          <w:p w:rsidR="000E535F" w:rsidRPr="000E535F" w:rsidRDefault="000E535F" w:rsidP="000E535F">
            <w:pPr>
              <w:pStyle w:val="WW-Default"/>
              <w:rPr>
                <w:rFonts w:asciiTheme="minorHAnsi" w:hAnsiTheme="minorHAnsi" w:cstheme="minorHAnsi"/>
                <w:sz w:val="16"/>
                <w:szCs w:val="22"/>
              </w:rPr>
            </w:pPr>
          </w:p>
        </w:tc>
        <w:tc>
          <w:tcPr>
            <w:tcW w:w="2551"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Mialgia/dolor muscular general </w:t>
            </w:r>
          </w:p>
          <w:p w:rsidR="000E535F" w:rsidRPr="000E535F" w:rsidRDefault="000E535F" w:rsidP="000E535F">
            <w:pPr>
              <w:pStyle w:val="WW-Default"/>
              <w:rPr>
                <w:rFonts w:asciiTheme="minorHAnsi" w:hAnsiTheme="minorHAnsi" w:cstheme="minorHAnsi"/>
                <w:sz w:val="16"/>
                <w:szCs w:val="22"/>
              </w:rPr>
            </w:pPr>
          </w:p>
        </w:tc>
        <w:tc>
          <w:tcPr>
            <w:tcW w:w="4904"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snapToGrid w:val="0"/>
              <w:rPr>
                <w:rFonts w:asciiTheme="minorHAnsi" w:hAnsiTheme="minorHAnsi" w:cstheme="minorHAnsi"/>
                <w:sz w:val="16"/>
                <w:szCs w:val="22"/>
              </w:rPr>
            </w:pPr>
          </w:p>
        </w:tc>
      </w:tr>
      <w:tr w:rsidR="000E535F" w:rsidRPr="000E535F" w:rsidTr="000E535F">
        <w:tc>
          <w:tcPr>
            <w:tcW w:w="3119"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b/>
                <w:bCs/>
                <w:sz w:val="16"/>
                <w:szCs w:val="22"/>
              </w:rPr>
              <w:t xml:space="preserve">Trastornos generales y alteraciones en el lugar de administración </w:t>
            </w:r>
          </w:p>
          <w:p w:rsidR="000E535F" w:rsidRPr="000E535F" w:rsidRDefault="000E535F" w:rsidP="000E535F">
            <w:pPr>
              <w:pStyle w:val="WW-Default"/>
              <w:rPr>
                <w:rFonts w:asciiTheme="minorHAnsi" w:hAnsiTheme="minorHAnsi" w:cstheme="minorHAnsi"/>
                <w:sz w:val="16"/>
                <w:szCs w:val="22"/>
              </w:rPr>
            </w:pPr>
          </w:p>
        </w:tc>
        <w:tc>
          <w:tcPr>
            <w:tcW w:w="2551"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Dolor en el lugar de la inyección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Eritema en el lugar de inyección/enrojecimiento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Malestar a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Irritabilidad (b)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Inflamación en el lugar de inyección/induración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Pirexia/fiebre </w:t>
            </w:r>
          </w:p>
        </w:tc>
        <w:tc>
          <w:tcPr>
            <w:tcW w:w="4904"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Prurito en el lugar de la inyección (c)</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Pirexia (c) </w:t>
            </w:r>
          </w:p>
          <w:p w:rsidR="000E535F" w:rsidRPr="000E535F" w:rsidRDefault="000E535F" w:rsidP="000E535F">
            <w:pPr>
              <w:pStyle w:val="WW-Default"/>
              <w:rPr>
                <w:rFonts w:asciiTheme="minorHAnsi" w:hAnsiTheme="minorHAnsi" w:cstheme="minorHAnsi"/>
                <w:sz w:val="16"/>
                <w:szCs w:val="22"/>
              </w:rPr>
            </w:pPr>
            <w:r w:rsidRPr="000E535F">
              <w:rPr>
                <w:rFonts w:asciiTheme="minorHAnsi" w:hAnsiTheme="minorHAnsi" w:cstheme="minorHAnsi"/>
                <w:sz w:val="16"/>
                <w:szCs w:val="22"/>
              </w:rPr>
              <w:t xml:space="preserve">Enfermedad similar a la gripe (c) </w:t>
            </w:r>
          </w:p>
          <w:p w:rsidR="000E535F" w:rsidRPr="000E535F" w:rsidRDefault="000E535F" w:rsidP="000E535F">
            <w:pPr>
              <w:pStyle w:val="WW-Default"/>
              <w:rPr>
                <w:rFonts w:asciiTheme="minorHAnsi" w:hAnsiTheme="minorHAnsi" w:cstheme="minorHAnsi"/>
                <w:sz w:val="16"/>
              </w:rPr>
            </w:pPr>
            <w:r w:rsidRPr="000E535F">
              <w:rPr>
                <w:rFonts w:asciiTheme="minorHAnsi" w:hAnsiTheme="minorHAnsi" w:cstheme="minorHAnsi"/>
                <w:sz w:val="16"/>
                <w:szCs w:val="22"/>
              </w:rPr>
              <w:t xml:space="preserve">Irritabilidad (c) </w:t>
            </w:r>
          </w:p>
        </w:tc>
      </w:tr>
    </w:tbl>
    <w:p w:rsidR="000E535F" w:rsidRPr="000E535F" w:rsidRDefault="000E535F" w:rsidP="000E535F">
      <w:pPr>
        <w:pStyle w:val="WW-Default"/>
        <w:jc w:val="both"/>
        <w:rPr>
          <w:rFonts w:asciiTheme="minorHAnsi" w:hAnsiTheme="minorHAnsi" w:cstheme="minorHAnsi"/>
          <w:sz w:val="18"/>
          <w:szCs w:val="22"/>
        </w:rPr>
      </w:pPr>
    </w:p>
    <w:p w:rsidR="000E535F" w:rsidRPr="000E535F" w:rsidRDefault="000E535F" w:rsidP="000E535F">
      <w:pPr>
        <w:pStyle w:val="WW-Default"/>
        <w:jc w:val="both"/>
        <w:rPr>
          <w:rFonts w:asciiTheme="minorHAnsi" w:hAnsiTheme="minorHAnsi" w:cstheme="minorHAnsi"/>
          <w:sz w:val="11"/>
          <w:szCs w:val="13"/>
        </w:rPr>
      </w:pPr>
      <w:r w:rsidRPr="000E535F">
        <w:rPr>
          <w:rFonts w:asciiTheme="minorHAnsi" w:hAnsiTheme="minorHAnsi" w:cstheme="minorHAnsi"/>
          <w:sz w:val="18"/>
          <w:szCs w:val="20"/>
        </w:rPr>
        <w:t xml:space="preserve">Las reacciones adversas locales o los acontecimientos adversos sistémicos no solicitados se categorizaron como Poco frecuentes (≥1/1.000, &lt;1/100), Raros (≥1/10.000, &lt;1/1.000), o Muy raros (&lt;1/10.000). </w:t>
      </w:r>
    </w:p>
    <w:p w:rsidR="000E535F" w:rsidRPr="000E535F" w:rsidRDefault="000E535F" w:rsidP="000E535F">
      <w:pPr>
        <w:pStyle w:val="WW-Default"/>
        <w:jc w:val="both"/>
        <w:rPr>
          <w:rFonts w:asciiTheme="minorHAnsi" w:hAnsiTheme="minorHAnsi" w:cstheme="minorHAnsi"/>
          <w:sz w:val="11"/>
          <w:szCs w:val="13"/>
        </w:rPr>
      </w:pPr>
      <w:r w:rsidRPr="000E535F">
        <w:rPr>
          <w:rFonts w:asciiTheme="minorHAnsi" w:hAnsiTheme="minorHAnsi" w:cstheme="minorHAnsi"/>
          <w:sz w:val="11"/>
          <w:szCs w:val="13"/>
        </w:rPr>
        <w:t xml:space="preserve">a </w:t>
      </w:r>
      <w:r w:rsidRPr="000E535F">
        <w:rPr>
          <w:rFonts w:asciiTheme="minorHAnsi" w:hAnsiTheme="minorHAnsi" w:cstheme="minorHAnsi"/>
          <w:sz w:val="18"/>
          <w:szCs w:val="20"/>
        </w:rPr>
        <w:t xml:space="preserve">Acontecimientos adversos sistémicos solicitados recogidos en los ensayos CSLCT-USF-07-36 y CSLCT-USF-06-29. </w:t>
      </w:r>
    </w:p>
    <w:p w:rsidR="000E535F" w:rsidRPr="000E535F" w:rsidRDefault="000E535F" w:rsidP="000E535F">
      <w:pPr>
        <w:pStyle w:val="WW-Default"/>
        <w:jc w:val="both"/>
        <w:rPr>
          <w:rFonts w:asciiTheme="minorHAnsi" w:hAnsiTheme="minorHAnsi" w:cstheme="minorHAnsi"/>
          <w:sz w:val="11"/>
          <w:szCs w:val="13"/>
        </w:rPr>
      </w:pPr>
      <w:r w:rsidRPr="000E535F">
        <w:rPr>
          <w:rFonts w:asciiTheme="minorHAnsi" w:hAnsiTheme="minorHAnsi" w:cstheme="minorHAnsi"/>
          <w:sz w:val="11"/>
          <w:szCs w:val="13"/>
        </w:rPr>
        <w:t xml:space="preserve">b </w:t>
      </w:r>
      <w:r w:rsidRPr="000E535F">
        <w:rPr>
          <w:rFonts w:asciiTheme="minorHAnsi" w:hAnsiTheme="minorHAnsi" w:cstheme="minorHAnsi"/>
          <w:sz w:val="18"/>
          <w:szCs w:val="20"/>
        </w:rPr>
        <w:t xml:space="preserve">Acontecimientos adversos sistémicos solicitados recogidos en el ensayo CSLCT-FLU-04-05. </w:t>
      </w:r>
    </w:p>
    <w:p w:rsidR="000E535F" w:rsidRPr="000E535F" w:rsidRDefault="000E535F" w:rsidP="000E535F">
      <w:pPr>
        <w:pStyle w:val="WW-Default"/>
        <w:jc w:val="both"/>
        <w:rPr>
          <w:rFonts w:asciiTheme="minorHAnsi" w:hAnsiTheme="minorHAnsi" w:cstheme="minorHAnsi"/>
          <w:sz w:val="11"/>
          <w:szCs w:val="13"/>
        </w:rPr>
      </w:pPr>
      <w:r w:rsidRPr="000E535F">
        <w:rPr>
          <w:rFonts w:asciiTheme="minorHAnsi" w:hAnsiTheme="minorHAnsi" w:cstheme="minorHAnsi"/>
          <w:sz w:val="11"/>
          <w:szCs w:val="13"/>
        </w:rPr>
        <w:t xml:space="preserve">c </w:t>
      </w:r>
      <w:r w:rsidRPr="000E535F">
        <w:rPr>
          <w:rFonts w:asciiTheme="minorHAnsi" w:hAnsiTheme="minorHAnsi" w:cstheme="minorHAnsi"/>
          <w:sz w:val="18"/>
          <w:szCs w:val="20"/>
        </w:rPr>
        <w:t xml:space="preserve">Acontecimientos adversos sistémicos relacionados no solicitados en niños de 5 a &lt; 9 años. </w:t>
      </w:r>
    </w:p>
    <w:p w:rsidR="000E535F" w:rsidRPr="000E535F" w:rsidRDefault="000E535F" w:rsidP="000E535F">
      <w:pPr>
        <w:pStyle w:val="WW-Default"/>
        <w:jc w:val="both"/>
        <w:rPr>
          <w:rFonts w:asciiTheme="minorHAnsi" w:hAnsiTheme="minorHAnsi" w:cstheme="minorHAnsi"/>
          <w:sz w:val="18"/>
          <w:szCs w:val="20"/>
        </w:rPr>
      </w:pPr>
      <w:r w:rsidRPr="000E535F">
        <w:rPr>
          <w:rFonts w:asciiTheme="minorHAnsi" w:hAnsiTheme="minorHAnsi" w:cstheme="minorHAnsi"/>
          <w:sz w:val="11"/>
          <w:szCs w:val="13"/>
        </w:rPr>
        <w:t xml:space="preserve">d </w:t>
      </w:r>
      <w:r w:rsidRPr="000E535F">
        <w:rPr>
          <w:rFonts w:asciiTheme="minorHAnsi" w:hAnsiTheme="minorHAnsi" w:cstheme="minorHAnsi"/>
          <w:sz w:val="18"/>
          <w:szCs w:val="20"/>
        </w:rPr>
        <w:t>Acontecimientos adversos sistémicos relacionados no solicitados en niños de 9 a &lt; 18 años.</w:t>
      </w:r>
    </w:p>
    <w:p w:rsidR="000E535F" w:rsidRPr="000E535F" w:rsidRDefault="000E535F" w:rsidP="000E535F">
      <w:pPr>
        <w:pStyle w:val="WW-Default"/>
        <w:jc w:val="both"/>
        <w:rPr>
          <w:rFonts w:asciiTheme="minorHAnsi" w:hAnsiTheme="minorHAnsi" w:cstheme="minorHAnsi"/>
          <w:sz w:val="18"/>
          <w:szCs w:val="20"/>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i/>
          <w:iCs/>
          <w:sz w:val="20"/>
          <w:szCs w:val="22"/>
        </w:rPr>
        <w:t xml:space="preserve">Reacciones adversas notificadas en el seguimiento de post-comercialización </w:t>
      </w:r>
    </w:p>
    <w:p w:rsidR="000E535F" w:rsidRPr="000E535F" w:rsidRDefault="000E535F" w:rsidP="000E535F">
      <w:pPr>
        <w:pStyle w:val="WW-Default"/>
        <w:jc w:val="both"/>
        <w:rPr>
          <w:rFonts w:asciiTheme="minorHAnsi" w:hAnsiTheme="minorHAnsi" w:cstheme="minorHAnsi"/>
          <w:i/>
          <w:iCs/>
          <w:sz w:val="20"/>
          <w:szCs w:val="22"/>
          <w:u w:val="single"/>
        </w:rPr>
      </w:pPr>
      <w:r w:rsidRPr="000E535F">
        <w:rPr>
          <w:rFonts w:asciiTheme="minorHAnsi" w:hAnsiTheme="minorHAnsi" w:cstheme="minorHAnsi"/>
          <w:sz w:val="20"/>
          <w:szCs w:val="22"/>
        </w:rPr>
        <w:t>Se han comunicado de manera espontánea las siguientes reacciones adversas durante el uso post-comercialización de AFLURIA, y se añaden a los observados en los ensayos clínicos. Las reacciones adversas comunicadas se presentan a continuación según el Sistema de clasificación de órganos.</w:t>
      </w:r>
    </w:p>
    <w:p w:rsidR="000E535F" w:rsidRPr="000E535F" w:rsidRDefault="000E535F" w:rsidP="000E535F">
      <w:pPr>
        <w:pStyle w:val="WW-Default"/>
        <w:jc w:val="both"/>
        <w:rPr>
          <w:rFonts w:asciiTheme="minorHAnsi" w:hAnsiTheme="minorHAnsi" w:cstheme="minorHAnsi"/>
          <w:i/>
          <w:iCs/>
          <w:sz w:val="20"/>
          <w:szCs w:val="22"/>
          <w:u w:val="single"/>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u w:val="single"/>
        </w:rPr>
        <w:t xml:space="preserve">Trastornos de la sangre y del sistema linfático: </w:t>
      </w:r>
    </w:p>
    <w:p w:rsidR="000E535F" w:rsidRPr="000E535F" w:rsidRDefault="000E535F" w:rsidP="000E535F">
      <w:pPr>
        <w:pStyle w:val="WW-Default"/>
        <w:jc w:val="both"/>
        <w:rPr>
          <w:rFonts w:asciiTheme="minorHAnsi" w:hAnsiTheme="minorHAnsi" w:cstheme="minorHAnsi"/>
          <w:i/>
          <w:iCs/>
          <w:sz w:val="20"/>
          <w:szCs w:val="22"/>
          <w:u w:val="single"/>
        </w:rPr>
      </w:pPr>
      <w:r w:rsidRPr="000E535F">
        <w:rPr>
          <w:rFonts w:asciiTheme="minorHAnsi" w:hAnsiTheme="minorHAnsi" w:cstheme="minorHAnsi"/>
          <w:sz w:val="20"/>
          <w:szCs w:val="22"/>
        </w:rPr>
        <w:t xml:space="preserve">Trombocitopenia, </w:t>
      </w:r>
      <w:r w:rsidRPr="000E535F">
        <w:rPr>
          <w:rFonts w:asciiTheme="minorHAnsi" w:hAnsiTheme="minorHAnsi" w:cstheme="minorHAnsi"/>
          <w:sz w:val="22"/>
          <w:szCs w:val="23"/>
        </w:rPr>
        <w:t>linfadenopatía transitoria</w:t>
      </w:r>
      <w:r w:rsidRPr="000E535F">
        <w:rPr>
          <w:rFonts w:asciiTheme="minorHAnsi" w:hAnsiTheme="minorHAnsi" w:cstheme="minorHAnsi"/>
          <w:sz w:val="20"/>
          <w:szCs w:val="22"/>
        </w:rPr>
        <w:t xml:space="preserve">.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u w:val="single"/>
        </w:rPr>
        <w:t xml:space="preserve">Trastornos del sistema inmunológico: </w:t>
      </w:r>
    </w:p>
    <w:p w:rsidR="000E535F" w:rsidRPr="000E535F" w:rsidRDefault="000E535F" w:rsidP="000E535F">
      <w:pPr>
        <w:pStyle w:val="WW-Default"/>
        <w:jc w:val="both"/>
        <w:rPr>
          <w:rFonts w:asciiTheme="minorHAnsi" w:hAnsiTheme="minorHAnsi" w:cstheme="minorHAnsi"/>
          <w:i/>
          <w:iCs/>
          <w:sz w:val="20"/>
          <w:szCs w:val="22"/>
          <w:u w:val="single"/>
        </w:rPr>
      </w:pPr>
      <w:r w:rsidRPr="000E535F">
        <w:rPr>
          <w:rFonts w:asciiTheme="minorHAnsi" w:hAnsiTheme="minorHAnsi" w:cstheme="minorHAnsi"/>
          <w:sz w:val="20"/>
          <w:szCs w:val="22"/>
        </w:rPr>
        <w:t xml:space="preserve">Reacciones alérgicas o hipersensibilidad inmediata, incluidos shock anafiláctico.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u w:val="single"/>
        </w:rPr>
        <w:t>Trastornos del sistema nervioso:</w:t>
      </w:r>
    </w:p>
    <w:p w:rsidR="000E535F" w:rsidRPr="000E535F" w:rsidRDefault="000E535F" w:rsidP="000E535F">
      <w:pPr>
        <w:pStyle w:val="WW-Default"/>
        <w:jc w:val="both"/>
        <w:rPr>
          <w:rFonts w:asciiTheme="minorHAnsi" w:hAnsiTheme="minorHAnsi" w:cstheme="minorHAnsi"/>
          <w:i/>
          <w:iCs/>
          <w:sz w:val="20"/>
          <w:szCs w:val="22"/>
          <w:u w:val="single"/>
        </w:rPr>
      </w:pPr>
      <w:r w:rsidRPr="000E535F">
        <w:rPr>
          <w:rFonts w:asciiTheme="minorHAnsi" w:hAnsiTheme="minorHAnsi" w:cstheme="minorHAnsi"/>
          <w:sz w:val="20"/>
          <w:szCs w:val="22"/>
        </w:rPr>
        <w:t xml:space="preserve">Neuralgia, parestesia, convulsiones (incluyendo convulsiones febriles), encefalomielitis, neuritis o neuropatía y síndrome de Guillain-Barré.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u w:val="single"/>
        </w:rPr>
        <w:lastRenderedPageBreak/>
        <w:t xml:space="preserve">Trastornos vasculares: </w:t>
      </w:r>
    </w:p>
    <w:p w:rsidR="000E535F" w:rsidRPr="000E535F" w:rsidRDefault="000E535F" w:rsidP="000E535F">
      <w:pPr>
        <w:pStyle w:val="WW-Default"/>
        <w:jc w:val="both"/>
        <w:rPr>
          <w:rFonts w:asciiTheme="minorHAnsi" w:hAnsiTheme="minorHAnsi" w:cstheme="minorHAnsi"/>
          <w:i/>
          <w:iCs/>
          <w:sz w:val="20"/>
          <w:szCs w:val="22"/>
          <w:u w:val="single"/>
        </w:rPr>
      </w:pPr>
      <w:r w:rsidRPr="000E535F">
        <w:rPr>
          <w:rFonts w:asciiTheme="minorHAnsi" w:hAnsiTheme="minorHAnsi" w:cstheme="minorHAnsi"/>
          <w:sz w:val="20"/>
          <w:szCs w:val="22"/>
        </w:rPr>
        <w:t xml:space="preserve">Vasculitis que puede estar asociada con implicación renal transitoria.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i/>
          <w:iCs/>
          <w:sz w:val="20"/>
          <w:szCs w:val="22"/>
          <w:u w:val="single"/>
        </w:rPr>
        <w:t xml:space="preserve">Trastornos de la piel y del tejido subcutáneo: </w:t>
      </w:r>
    </w:p>
    <w:p w:rsidR="000E535F" w:rsidRPr="000E535F" w:rsidRDefault="000E535F" w:rsidP="000E535F">
      <w:pPr>
        <w:pStyle w:val="WW-Default"/>
        <w:jc w:val="both"/>
        <w:rPr>
          <w:rFonts w:asciiTheme="minorHAnsi" w:hAnsiTheme="minorHAnsi" w:cstheme="minorHAnsi"/>
          <w:b/>
          <w:bCs/>
          <w:i/>
          <w:iCs/>
          <w:sz w:val="20"/>
          <w:szCs w:val="22"/>
        </w:rPr>
      </w:pPr>
      <w:r w:rsidRPr="000E535F">
        <w:rPr>
          <w:rFonts w:asciiTheme="minorHAnsi" w:hAnsiTheme="minorHAnsi" w:cstheme="minorHAnsi"/>
          <w:sz w:val="20"/>
          <w:szCs w:val="22"/>
        </w:rPr>
        <w:t xml:space="preserve">Prurito, urticaria y erupciones. </w:t>
      </w:r>
    </w:p>
    <w:p w:rsidR="000E535F" w:rsidRPr="000E535F" w:rsidRDefault="000E535F" w:rsidP="000E535F">
      <w:pPr>
        <w:pStyle w:val="WW-Default"/>
        <w:jc w:val="both"/>
        <w:rPr>
          <w:rFonts w:asciiTheme="minorHAnsi" w:hAnsiTheme="minorHAnsi" w:cstheme="minorHAnsi"/>
          <w:b/>
          <w:bCs/>
          <w:i/>
          <w:i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i/>
          <w:iCs/>
          <w:sz w:val="20"/>
          <w:szCs w:val="22"/>
        </w:rPr>
        <w:t xml:space="preserve">Trastornos generales y alteraciones en el lugar de administración: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Celulitis y gran inflamación en el lugar de inyección.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Enfermedad similar a la gripe.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Notificación de sospechas de reacciones adversas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Sistema Español de Farmacovigilancia de Medicamentos de Uso Humano: </w:t>
      </w:r>
      <w:hyperlink r:id="rId21" w:history="1">
        <w:r w:rsidRPr="000E535F">
          <w:rPr>
            <w:rStyle w:val="Hipervnculo"/>
            <w:rFonts w:asciiTheme="minorHAnsi" w:hAnsiTheme="minorHAnsi" w:cstheme="minorHAnsi"/>
            <w:sz w:val="20"/>
            <w:szCs w:val="22"/>
          </w:rPr>
          <w:t>www.notificaram.es</w:t>
        </w:r>
      </w:hyperlink>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4.9. Sobredosis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Es poco probable que la sobredosis produzca algún efecto desfavorable.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b/>
          <w:bCs/>
          <w:sz w:val="20"/>
          <w:szCs w:val="22"/>
        </w:rPr>
        <w:t xml:space="preserve">5. PROPIEDADES FARMACOLÓGICAS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5.1. Propiedades farmacodinámicas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Grupo farmacoterapéutico: Vacunas contra la gripe, código ATC: J07B B02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La seroprotección se obtiene generalmente en 2-3 semanas. La duración de la inmunidad postvacunal a cepas homólogas o a cepas estrechamente relacionadas con las de la vacuna varía, pero es normalmente de 6-12 meses.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5.2. Propiedades farmacocinéticas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La evaluación de las propiedades farmacocinéticas no es necesaria para las vacunas.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5.3. Datos preclínicos sobre seguridad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Se evaluó el efecto de AFLURIA sobre el desarrollo embriofetal y previo al destete, en un estudio de toxicidad sobre la reproducción y el desarrollo en ratas preñadas. No se observaron efectos adversos sobre el apareamiento, la fertilidad de las hembras, embarazos, partos, parámetros de lactancia y desarrollo embriofetal o pre-destete. No se observaron malformaciones fetales relacionadas con la vacuna u otras evidencias de teratogénesis.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b/>
          <w:bCs/>
          <w:sz w:val="20"/>
          <w:szCs w:val="22"/>
        </w:rPr>
        <w:t xml:space="preserve">6 . DATOS FARMACÉUTICOS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6.1. Lista de excipientes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Cloruro de sodio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Fostato de disodio anhidro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Dihidrógeno fosfato de sodio dihidrato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Cloruro de potasio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Dihidrógeno fosfato de potasio</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Cloruro de sodio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Agua para preparaciones inyectables.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6.2. Incompatibilidades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En ausencia de estudios de compatibilidad, esta vacuna no debe mezclarse con otros medicamentos.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6.3. Periodo de validez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15 meses.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6.4. Precauciones especiales de conservación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Conservar en nevera (entre 2ºC y 8ºC). No congelar.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Conservar la jeringa en el embalaje exterior para protegerla de la luz.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6.5. Naturaleza y contenido del envase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0,5 ml de suspensión en jeringa precargada (vidrio Tipo I)</w:t>
      </w:r>
      <w:r w:rsidRPr="000E535F">
        <w:rPr>
          <w:rFonts w:asciiTheme="minorHAnsi" w:hAnsiTheme="minorHAnsi" w:cstheme="minorHAnsi"/>
          <w:b/>
          <w:bCs/>
          <w:sz w:val="20"/>
          <w:szCs w:val="22"/>
        </w:rPr>
        <w:t xml:space="preserve">, </w:t>
      </w:r>
      <w:r w:rsidRPr="000E535F">
        <w:rPr>
          <w:rFonts w:asciiTheme="minorHAnsi" w:hAnsiTheme="minorHAnsi" w:cstheme="minorHAnsi"/>
          <w:sz w:val="20"/>
          <w:szCs w:val="22"/>
        </w:rPr>
        <w:t xml:space="preserve">con un tapón de émbolo (goma de clorobutilo), con o sin aguja incluida, en envases de 1 ó 10 jeringas. La jeringa con aguja incluida puede suministrarse con o sin dispositivo de bioseguridad.***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Puede que solamente estén comercializados algunos tamaños de envases.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***Ver sección 6.6 para las instrucciones de uso. </w:t>
      </w:r>
    </w:p>
    <w:p w:rsidR="000E535F" w:rsidRDefault="000E535F" w:rsidP="000E535F">
      <w:pPr>
        <w:pStyle w:val="WW-Default"/>
        <w:jc w:val="both"/>
        <w:rPr>
          <w:rFonts w:asciiTheme="minorHAnsi" w:hAnsiTheme="minorHAnsi" w:cstheme="minorHAnsi"/>
          <w:b/>
          <w:bCs/>
          <w:sz w:val="20"/>
          <w:szCs w:val="22"/>
        </w:rPr>
      </w:pPr>
    </w:p>
    <w:p w:rsid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lastRenderedPageBreak/>
        <w:t>6.6. Precauciones especiales de eliminación y otras manipulaciones</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La vacuna debe alcanzar la temperatura ambiente antes de su utilización. Agitar antes de su uso. Después de agitar la vacuna debe aparecer como una suspensión homogénea. La vacuna debe inspeccionarse visualmente antes de la administración y no debe utilizarse si presenta alguna variación en su aspecto físico (ver sección 3).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AFLURIA se presenta en una jeringa de un solo uso, y cualquier medicamento no utilizado o de desecho debe eliminarse de acuerdo con los requisitos locales.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Para la administración utilizando la jeringa que viene con aguja y dispositivo de bioseguridad incluido, ver el diagrama siguiente:</w:t>
      </w:r>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noProof/>
          <w:sz w:val="20"/>
          <w:szCs w:val="22"/>
          <w:lang w:eastAsia="es-ES"/>
        </w:rPr>
        <w:drawing>
          <wp:inline distT="0" distB="0" distL="0" distR="0" wp14:anchorId="0520E2DE" wp14:editId="59AC1652">
            <wp:extent cx="1329690" cy="11442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9690" cy="1144270"/>
                    </a:xfrm>
                    <a:prstGeom prst="rect">
                      <a:avLst/>
                    </a:prstGeom>
                    <a:solidFill>
                      <a:srgbClr val="FFFFFF"/>
                    </a:solidFill>
                    <a:ln>
                      <a:noFill/>
                    </a:ln>
                  </pic:spPr>
                </pic:pic>
              </a:graphicData>
            </a:graphic>
          </wp:inline>
        </w:drawing>
      </w:r>
      <w:r w:rsidRPr="000E535F">
        <w:rPr>
          <w:rFonts w:asciiTheme="minorHAnsi" w:hAnsiTheme="minorHAnsi" w:cstheme="minorHAnsi"/>
          <w:noProof/>
          <w:sz w:val="20"/>
          <w:szCs w:val="22"/>
          <w:lang w:eastAsia="es-ES"/>
        </w:rPr>
        <w:drawing>
          <wp:inline distT="0" distB="0" distL="0" distR="0" wp14:anchorId="39E1200E" wp14:editId="0C9791E1">
            <wp:extent cx="1351915" cy="11442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1915" cy="1144270"/>
                    </a:xfrm>
                    <a:prstGeom prst="rect">
                      <a:avLst/>
                    </a:prstGeom>
                    <a:solidFill>
                      <a:srgbClr val="FFFFFF"/>
                    </a:solidFill>
                    <a:ln>
                      <a:noFill/>
                    </a:ln>
                  </pic:spPr>
                </pic:pic>
              </a:graphicData>
            </a:graphic>
          </wp:inline>
        </w:drawing>
      </w:r>
      <w:r w:rsidRPr="000E535F">
        <w:rPr>
          <w:rFonts w:asciiTheme="minorHAnsi" w:hAnsiTheme="minorHAnsi" w:cstheme="minorHAnsi"/>
          <w:noProof/>
          <w:sz w:val="20"/>
          <w:szCs w:val="22"/>
          <w:lang w:eastAsia="es-ES"/>
        </w:rPr>
        <w:drawing>
          <wp:inline distT="0" distB="0" distL="0" distR="0" wp14:anchorId="2DC42195" wp14:editId="5849177C">
            <wp:extent cx="1318260" cy="11334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8260" cy="1133475"/>
                    </a:xfrm>
                    <a:prstGeom prst="rect">
                      <a:avLst/>
                    </a:prstGeom>
                    <a:solidFill>
                      <a:srgbClr val="FFFFFF"/>
                    </a:solidFill>
                    <a:ln>
                      <a:noFill/>
                    </a:ln>
                  </pic:spPr>
                </pic:pic>
              </a:graphicData>
            </a:graphic>
          </wp:inline>
        </w:drawing>
      </w:r>
      <w:r w:rsidRPr="000E535F">
        <w:rPr>
          <w:rFonts w:asciiTheme="minorHAnsi" w:hAnsiTheme="minorHAnsi" w:cstheme="minorHAnsi"/>
          <w:noProof/>
          <w:sz w:val="20"/>
          <w:szCs w:val="22"/>
          <w:lang w:eastAsia="es-ES"/>
        </w:rPr>
        <w:drawing>
          <wp:inline distT="0" distB="0" distL="0" distR="0" wp14:anchorId="0716DF65" wp14:editId="1384D606">
            <wp:extent cx="1323975" cy="11334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1133475"/>
                    </a:xfrm>
                    <a:prstGeom prst="rect">
                      <a:avLst/>
                    </a:prstGeom>
                    <a:solidFill>
                      <a:srgbClr val="FFFFFF"/>
                    </a:solidFill>
                    <a:ln>
                      <a:noFill/>
                    </a:ln>
                  </pic:spPr>
                </pic:pic>
              </a:graphicData>
            </a:graphic>
          </wp:inline>
        </w:drawing>
      </w:r>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1-2: Apartar el dispositivo de bioseguridad de plástico naranja de la aguja hacia un lado.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3-4: Retirar el protector de plástico traslúcido de la aguja, y el protector gris de la aguja, y aplicar la inyección. La administración intramuscular de la vacuna antigripal debe realizarse mediante inyección en la parte superior del brazo, en el músculo deltoides.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5: Colocar el dispositivo de bioseguridad naranja sobre una superficie estable y dura, y presionar hacia abajo sobre ella doblando la jeringa. Continuar el movimiento hasta que la aguja esté doblada aproximadamente 90 grados y se oiga un click de la aguja dentro del dispositivo de bioseguridad.</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6: La aguja está ahora preparada para una eliminación segura, de acuerdo con los requisitos locales.</w:t>
      </w:r>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b/>
          <w:bCs/>
          <w:sz w:val="20"/>
          <w:szCs w:val="22"/>
        </w:rPr>
        <w:t xml:space="preserve">7. TITULAR DE LA AUTORIZACIÓN DE COMERCIALIZACIÓN </w:t>
      </w:r>
    </w:p>
    <w:p w:rsidR="000E535F" w:rsidRPr="000E535F" w:rsidRDefault="000E535F" w:rsidP="000E535F">
      <w:pPr>
        <w:pStyle w:val="WW-Default"/>
        <w:jc w:val="both"/>
        <w:rPr>
          <w:rFonts w:asciiTheme="minorHAnsi" w:hAnsiTheme="minorHAnsi" w:cstheme="minorHAnsi"/>
          <w:sz w:val="18"/>
          <w:szCs w:val="22"/>
        </w:rPr>
      </w:pPr>
      <w:r w:rsidRPr="000E535F">
        <w:rPr>
          <w:rFonts w:asciiTheme="minorHAnsi" w:hAnsiTheme="minorHAnsi" w:cstheme="minorHAnsi"/>
          <w:b/>
          <w:bCs/>
          <w:sz w:val="18"/>
          <w:szCs w:val="22"/>
        </w:rPr>
        <w:t xml:space="preserve">Seqirus </w:t>
      </w:r>
      <w:r w:rsidRPr="000E535F">
        <w:rPr>
          <w:rFonts w:asciiTheme="minorHAnsi" w:hAnsiTheme="minorHAnsi" w:cstheme="minorHAnsi"/>
          <w:sz w:val="18"/>
          <w:szCs w:val="22"/>
        </w:rPr>
        <w:t xml:space="preserve">GmbH </w:t>
      </w:r>
    </w:p>
    <w:p w:rsidR="000E535F" w:rsidRPr="000E535F" w:rsidRDefault="000E535F" w:rsidP="000E535F">
      <w:pPr>
        <w:pStyle w:val="WW-Default"/>
        <w:jc w:val="both"/>
        <w:rPr>
          <w:rFonts w:asciiTheme="minorHAnsi" w:hAnsiTheme="minorHAnsi" w:cstheme="minorHAnsi"/>
          <w:sz w:val="18"/>
          <w:szCs w:val="22"/>
        </w:rPr>
      </w:pPr>
      <w:r w:rsidRPr="000E535F">
        <w:rPr>
          <w:rFonts w:asciiTheme="minorHAnsi" w:hAnsiTheme="minorHAnsi" w:cstheme="minorHAnsi"/>
          <w:sz w:val="18"/>
          <w:szCs w:val="22"/>
        </w:rPr>
        <w:t xml:space="preserve">Emil-von-Behring-Strasse 76 </w:t>
      </w:r>
    </w:p>
    <w:p w:rsidR="000E535F" w:rsidRPr="000E535F" w:rsidRDefault="000E535F" w:rsidP="000E535F">
      <w:pPr>
        <w:pStyle w:val="WW-Default"/>
        <w:jc w:val="both"/>
        <w:rPr>
          <w:rFonts w:asciiTheme="minorHAnsi" w:hAnsiTheme="minorHAnsi" w:cstheme="minorHAnsi"/>
          <w:b/>
          <w:bCs/>
          <w:sz w:val="18"/>
          <w:szCs w:val="22"/>
        </w:rPr>
      </w:pPr>
      <w:r w:rsidRPr="000E535F">
        <w:rPr>
          <w:rFonts w:asciiTheme="minorHAnsi" w:hAnsiTheme="minorHAnsi" w:cstheme="minorHAnsi"/>
          <w:sz w:val="18"/>
          <w:szCs w:val="22"/>
        </w:rPr>
        <w:t xml:space="preserve">35041 Marburg , Alemania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8. NÚMERO(S) DE AUTORIZACIÓN DE COMERCIALIZACIÓN </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Nº Registro: 78806</w:t>
      </w:r>
    </w:p>
    <w:p w:rsidR="000E535F" w:rsidRPr="000E535F" w:rsidRDefault="000E535F" w:rsidP="000E535F">
      <w:pPr>
        <w:pStyle w:val="WW-Default"/>
        <w:jc w:val="both"/>
        <w:rPr>
          <w:rFonts w:asciiTheme="minorHAnsi" w:hAnsiTheme="minorHAnsi" w:cstheme="minorHAnsi"/>
          <w:sz w:val="20"/>
          <w:szCs w:val="22"/>
        </w:rPr>
      </w:pPr>
    </w:p>
    <w:tbl>
      <w:tblPr>
        <w:tblW w:w="0" w:type="auto"/>
        <w:tblInd w:w="-5" w:type="dxa"/>
        <w:tblLayout w:type="fixed"/>
        <w:tblLook w:val="0000" w:firstRow="0" w:lastRow="0" w:firstColumn="0" w:lastColumn="0" w:noHBand="0" w:noVBand="0"/>
      </w:tblPr>
      <w:tblGrid>
        <w:gridCol w:w="7196"/>
        <w:gridCol w:w="1458"/>
      </w:tblGrid>
      <w:tr w:rsidR="000E535F" w:rsidRPr="000E535F" w:rsidTr="000E535F">
        <w:tc>
          <w:tcPr>
            <w:tcW w:w="7196"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6980"/>
            </w:tblGrid>
            <w:tr w:rsidR="000E535F" w:rsidRPr="000E535F" w:rsidTr="000E535F">
              <w:trPr>
                <w:trHeight w:val="390"/>
              </w:trPr>
              <w:tc>
                <w:tcPr>
                  <w:tcW w:w="6980" w:type="dxa"/>
                  <w:shd w:val="clear" w:color="auto" w:fill="auto"/>
                </w:tcPr>
                <w:p w:rsidR="000E535F" w:rsidRPr="000E535F" w:rsidRDefault="000E535F" w:rsidP="000E535F">
                  <w:pPr>
                    <w:autoSpaceDE w:val="0"/>
                    <w:spacing w:after="0" w:line="240" w:lineRule="auto"/>
                    <w:jc w:val="both"/>
                    <w:rPr>
                      <w:rFonts w:asciiTheme="minorHAnsi" w:hAnsiTheme="minorHAnsi" w:cstheme="minorHAnsi"/>
                      <w:sz w:val="16"/>
                    </w:rPr>
                  </w:pPr>
                  <w:r w:rsidRPr="000E535F">
                    <w:rPr>
                      <w:rFonts w:asciiTheme="minorHAnsi" w:hAnsiTheme="minorHAnsi" w:cstheme="minorHAnsi"/>
                      <w:color w:val="000000"/>
                      <w:sz w:val="16"/>
                    </w:rPr>
                    <w:t xml:space="preserve">AFLURIA SUSPENSION INYECTABLE EN JERINGA PRECARGADA , 1 jeringa precargada de 0,5 ml sin aguja-ENVASE NORMAL </w:t>
                  </w:r>
                </w:p>
              </w:tc>
            </w:tr>
          </w:tbl>
          <w:p w:rsidR="000E535F" w:rsidRPr="000E535F" w:rsidRDefault="000E535F" w:rsidP="000E535F">
            <w:pPr>
              <w:rPr>
                <w:rFonts w:asciiTheme="minorHAnsi" w:hAnsiTheme="minorHAnsi" w:cstheme="minorHAnsi"/>
                <w:sz w:val="16"/>
              </w:rPr>
            </w:pP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702570 - 2 </w:t>
            </w:r>
          </w:p>
          <w:p w:rsidR="000E535F" w:rsidRPr="000E535F" w:rsidRDefault="000E535F" w:rsidP="000E535F">
            <w:pPr>
              <w:pStyle w:val="WW-Default"/>
              <w:jc w:val="both"/>
              <w:rPr>
                <w:rFonts w:asciiTheme="minorHAnsi" w:hAnsiTheme="minorHAnsi" w:cstheme="minorHAnsi"/>
                <w:sz w:val="16"/>
                <w:szCs w:val="22"/>
              </w:rPr>
            </w:pPr>
          </w:p>
        </w:tc>
      </w:tr>
      <w:tr w:rsidR="000E535F" w:rsidRPr="000E535F" w:rsidTr="000E535F">
        <w:tc>
          <w:tcPr>
            <w:tcW w:w="7196"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AFLURIA SUSPENSION INYECTABLE EN JERINGA PRECARGADA , 10 jeringas precargadas de 0,5 ml sin aguja-ENVASE NORMAL </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702573 - 3 </w:t>
            </w:r>
          </w:p>
          <w:p w:rsidR="000E535F" w:rsidRPr="000E535F" w:rsidRDefault="000E535F" w:rsidP="000E535F">
            <w:pPr>
              <w:pStyle w:val="WW-Default"/>
              <w:jc w:val="both"/>
              <w:rPr>
                <w:rFonts w:asciiTheme="minorHAnsi" w:hAnsiTheme="minorHAnsi" w:cstheme="minorHAnsi"/>
                <w:sz w:val="16"/>
                <w:szCs w:val="22"/>
              </w:rPr>
            </w:pPr>
          </w:p>
        </w:tc>
      </w:tr>
      <w:tr w:rsidR="000E535F" w:rsidRPr="000E535F" w:rsidTr="000E535F">
        <w:tc>
          <w:tcPr>
            <w:tcW w:w="7196"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AFLURIA SUSPENSION INYECTABLE EN JERINGA PRECARGADA , 1 jeringa precargada de 0,5 ml con aguja-ENVASE NORMAL </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705470 - 2 </w:t>
            </w:r>
          </w:p>
          <w:p w:rsidR="000E535F" w:rsidRPr="000E535F" w:rsidRDefault="000E535F" w:rsidP="000E535F">
            <w:pPr>
              <w:pStyle w:val="WW-Default"/>
              <w:jc w:val="both"/>
              <w:rPr>
                <w:rFonts w:asciiTheme="minorHAnsi" w:hAnsiTheme="minorHAnsi" w:cstheme="minorHAnsi"/>
                <w:sz w:val="16"/>
                <w:szCs w:val="22"/>
              </w:rPr>
            </w:pPr>
          </w:p>
        </w:tc>
      </w:tr>
      <w:tr w:rsidR="000E535F" w:rsidRPr="000E535F" w:rsidTr="000E535F">
        <w:tc>
          <w:tcPr>
            <w:tcW w:w="7196"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AFLURIA SUSPENSION INYECTABLE EN JERINGA PRECARGADA , 10 jeringas precargadas de 0,5 ml con aguja-ENVASE NORMAL </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705471 - 9 </w:t>
            </w:r>
          </w:p>
          <w:p w:rsidR="000E535F" w:rsidRPr="000E535F" w:rsidRDefault="000E535F" w:rsidP="000E535F">
            <w:pPr>
              <w:pStyle w:val="WW-Default"/>
              <w:jc w:val="both"/>
              <w:rPr>
                <w:rFonts w:asciiTheme="minorHAnsi" w:hAnsiTheme="minorHAnsi" w:cstheme="minorHAnsi"/>
                <w:sz w:val="16"/>
                <w:szCs w:val="22"/>
              </w:rPr>
            </w:pPr>
          </w:p>
        </w:tc>
      </w:tr>
      <w:tr w:rsidR="000E535F" w:rsidRPr="000E535F" w:rsidTr="000E535F">
        <w:tc>
          <w:tcPr>
            <w:tcW w:w="7196"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AFLURIA SUSPENSION INYECTABLE EN JERINGA PRECARGADA, 1 jeringa precargada de 0,5 ml con aguja y dispositivo de bioseguridad (Vidrio Tipo I) - ENVASE NORMAL </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715321 - 4 </w:t>
            </w:r>
          </w:p>
          <w:p w:rsidR="000E535F" w:rsidRPr="000E535F" w:rsidRDefault="000E535F" w:rsidP="000E535F">
            <w:pPr>
              <w:pStyle w:val="WW-Default"/>
              <w:jc w:val="both"/>
              <w:rPr>
                <w:rFonts w:asciiTheme="minorHAnsi" w:hAnsiTheme="minorHAnsi" w:cstheme="minorHAnsi"/>
                <w:sz w:val="16"/>
                <w:szCs w:val="22"/>
              </w:rPr>
            </w:pPr>
          </w:p>
        </w:tc>
      </w:tr>
      <w:tr w:rsidR="000E535F" w:rsidRPr="000E535F" w:rsidTr="000E535F">
        <w:tc>
          <w:tcPr>
            <w:tcW w:w="7196" w:type="dxa"/>
            <w:tcBorders>
              <w:top w:val="single" w:sz="4" w:space="0" w:color="000000"/>
              <w:left w:val="single" w:sz="4" w:space="0" w:color="000000"/>
              <w:bottom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AFLURIA SUSPENSION INYECTABLE EN JERINGA PRECARGADA, 10 jeringas precargadas de 0,5 ml con aguja y dispositivo de bioseguridad (Vidrio Tipo I) – ENVASE NORMAL </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0E535F" w:rsidRPr="000E535F" w:rsidRDefault="000E535F" w:rsidP="000E535F">
            <w:pPr>
              <w:pStyle w:val="WW-Default"/>
              <w:jc w:val="both"/>
              <w:rPr>
                <w:rFonts w:asciiTheme="minorHAnsi" w:hAnsiTheme="minorHAnsi" w:cstheme="minorHAnsi"/>
                <w:sz w:val="16"/>
                <w:szCs w:val="22"/>
              </w:rPr>
            </w:pPr>
            <w:r w:rsidRPr="000E535F">
              <w:rPr>
                <w:rFonts w:asciiTheme="minorHAnsi" w:hAnsiTheme="minorHAnsi" w:cstheme="minorHAnsi"/>
                <w:sz w:val="16"/>
                <w:szCs w:val="22"/>
              </w:rPr>
              <w:t xml:space="preserve">715322 - 1 </w:t>
            </w:r>
          </w:p>
          <w:p w:rsidR="000E535F" w:rsidRPr="000E535F" w:rsidRDefault="000E535F" w:rsidP="000E535F">
            <w:pPr>
              <w:pStyle w:val="WW-Default"/>
              <w:jc w:val="both"/>
              <w:rPr>
                <w:rFonts w:asciiTheme="minorHAnsi" w:hAnsiTheme="minorHAnsi" w:cstheme="minorHAnsi"/>
                <w:sz w:val="16"/>
                <w:szCs w:val="22"/>
              </w:rPr>
            </w:pPr>
          </w:p>
        </w:tc>
      </w:tr>
    </w:tbl>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 xml:space="preserve">9. FECHA DE LA PRIMERA AUTORIZACIÓN/ RENOVACIÓN DE LA AUTORIZACIÓN </w:t>
      </w:r>
    </w:p>
    <w:p w:rsidR="000E535F" w:rsidRPr="000E535F" w:rsidRDefault="000E535F" w:rsidP="000E535F">
      <w:pPr>
        <w:pStyle w:val="WW-Default"/>
        <w:jc w:val="both"/>
        <w:rPr>
          <w:rFonts w:asciiTheme="minorHAnsi" w:hAnsiTheme="minorHAnsi" w:cstheme="minorHAnsi"/>
          <w:b/>
          <w:bCs/>
          <w:sz w:val="20"/>
          <w:szCs w:val="22"/>
        </w:rPr>
      </w:pPr>
      <w:r w:rsidRPr="000E535F">
        <w:rPr>
          <w:rFonts w:asciiTheme="minorHAnsi" w:hAnsiTheme="minorHAnsi" w:cstheme="minorHAnsi"/>
          <w:sz w:val="20"/>
          <w:szCs w:val="22"/>
        </w:rPr>
        <w:t xml:space="preserve">Febrero 2015 </w:t>
      </w:r>
    </w:p>
    <w:p w:rsidR="000E535F" w:rsidRPr="000E535F" w:rsidRDefault="000E535F" w:rsidP="000E535F">
      <w:pPr>
        <w:pStyle w:val="WW-Default"/>
        <w:jc w:val="both"/>
        <w:rPr>
          <w:rFonts w:asciiTheme="minorHAnsi" w:hAnsiTheme="minorHAnsi" w:cstheme="minorHAnsi"/>
          <w:b/>
          <w:bCs/>
          <w:sz w:val="20"/>
          <w:szCs w:val="22"/>
        </w:rPr>
      </w:pP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b/>
          <w:bCs/>
          <w:sz w:val="20"/>
          <w:szCs w:val="22"/>
        </w:rPr>
        <w:t>10. FECHA DE LA REVISIÓN DEL TEXTO</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Agosto 2018</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AFLURIA es una marca registrada de Seqirus UK Limited o sus filiales.</w:t>
      </w:r>
    </w:p>
    <w:p w:rsidR="000E535F" w:rsidRPr="000E535F" w:rsidRDefault="000E535F" w:rsidP="000E535F">
      <w:pPr>
        <w:pStyle w:val="WW-Default"/>
        <w:jc w:val="both"/>
        <w:rPr>
          <w:rFonts w:asciiTheme="minorHAnsi" w:hAnsiTheme="minorHAnsi" w:cstheme="minorHAnsi"/>
          <w:sz w:val="20"/>
          <w:szCs w:val="22"/>
        </w:rPr>
      </w:pPr>
      <w:r w:rsidRPr="000E535F">
        <w:rPr>
          <w:rFonts w:asciiTheme="minorHAnsi" w:hAnsiTheme="minorHAnsi" w:cstheme="minorHAnsi"/>
          <w:sz w:val="20"/>
          <w:szCs w:val="22"/>
        </w:rPr>
        <w:t xml:space="preserve">La información detallada y actualizada de este medicamento está disponible en la página Web de la Agencia Española de Medicamentos y Productos Sanitarios (AEMPS) </w:t>
      </w:r>
      <w:hyperlink r:id="rId26" w:history="1">
        <w:r w:rsidRPr="000E535F">
          <w:rPr>
            <w:rStyle w:val="Hipervnculo"/>
            <w:rFonts w:asciiTheme="minorHAnsi" w:hAnsiTheme="minorHAnsi" w:cstheme="minorHAnsi"/>
            <w:sz w:val="20"/>
            <w:szCs w:val="22"/>
          </w:rPr>
          <w:t>http://www.aemps.gob.es/</w:t>
        </w:r>
      </w:hyperlink>
    </w:p>
    <w:p w:rsidR="000E535F" w:rsidRPr="000E535F" w:rsidRDefault="000E535F" w:rsidP="000E535F">
      <w:pPr>
        <w:pStyle w:val="WW-Default"/>
        <w:jc w:val="both"/>
        <w:rPr>
          <w:rFonts w:asciiTheme="minorHAnsi" w:hAnsiTheme="minorHAnsi" w:cstheme="minorHAnsi"/>
          <w:sz w:val="20"/>
          <w:szCs w:val="22"/>
        </w:rPr>
      </w:pPr>
    </w:p>
    <w:p w:rsidR="000E535F" w:rsidRPr="000E535F" w:rsidRDefault="000E535F" w:rsidP="000E535F">
      <w:pPr>
        <w:pStyle w:val="WW-Default"/>
        <w:jc w:val="center"/>
        <w:rPr>
          <w:rFonts w:asciiTheme="minorHAnsi" w:hAnsiTheme="minorHAnsi" w:cstheme="minorHAnsi"/>
          <w:sz w:val="20"/>
          <w:szCs w:val="22"/>
        </w:rPr>
      </w:pPr>
    </w:p>
    <w:p w:rsidR="000E535F" w:rsidRPr="000E535F" w:rsidRDefault="000E535F" w:rsidP="00AB1796">
      <w:pPr>
        <w:pStyle w:val="WW-Default"/>
        <w:jc w:val="center"/>
        <w:rPr>
          <w:rFonts w:asciiTheme="minorHAnsi" w:hAnsiTheme="minorHAnsi" w:cstheme="minorHAnsi"/>
          <w:b/>
          <w:sz w:val="22"/>
        </w:rPr>
      </w:pPr>
      <w:r w:rsidRPr="000E535F">
        <w:rPr>
          <w:rFonts w:asciiTheme="minorHAnsi" w:hAnsiTheme="minorHAnsi" w:cstheme="minorHAnsi"/>
          <w:b/>
          <w:noProof/>
          <w:sz w:val="22"/>
          <w:lang w:eastAsia="es-ES"/>
        </w:rPr>
        <w:drawing>
          <wp:inline distT="0" distB="0" distL="0" distR="0" wp14:anchorId="6A135DB9" wp14:editId="03FF6F3B">
            <wp:extent cx="2451489" cy="1118994"/>
            <wp:effectExtent l="0" t="0" r="635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luria 10x1 con aguja y bioseguridad.JPG"/>
                    <pic:cNvPicPr/>
                  </pic:nvPicPr>
                  <pic:blipFill rotWithShape="1">
                    <a:blip r:embed="rId27" cstate="print">
                      <a:extLst>
                        <a:ext uri="{28A0092B-C50C-407E-A947-70E740481C1C}">
                          <a14:useLocalDpi xmlns:a14="http://schemas.microsoft.com/office/drawing/2010/main" val="0"/>
                        </a:ext>
                      </a:extLst>
                    </a:blip>
                    <a:srcRect t="20376" b="18768"/>
                    <a:stretch/>
                  </pic:blipFill>
                  <pic:spPr bwMode="auto">
                    <a:xfrm>
                      <a:off x="0" y="0"/>
                      <a:ext cx="2467027" cy="1126087"/>
                    </a:xfrm>
                    <a:prstGeom prst="rect">
                      <a:avLst/>
                    </a:prstGeom>
                    <a:ln>
                      <a:noFill/>
                    </a:ln>
                    <a:extLst>
                      <a:ext uri="{53640926-AAD7-44D8-BBD7-CCE9431645EC}">
                        <a14:shadowObscured xmlns:a14="http://schemas.microsoft.com/office/drawing/2010/main"/>
                      </a:ext>
                    </a:extLst>
                  </pic:spPr>
                </pic:pic>
              </a:graphicData>
            </a:graphic>
          </wp:inline>
        </w:drawing>
      </w:r>
      <w:r w:rsidR="00AB1796" w:rsidRPr="000E535F">
        <w:rPr>
          <w:rFonts w:asciiTheme="minorHAnsi" w:hAnsiTheme="minorHAnsi" w:cstheme="minorHAnsi"/>
          <w:b/>
          <w:noProof/>
          <w:sz w:val="22"/>
          <w:lang w:eastAsia="es-ES"/>
        </w:rPr>
        <w:drawing>
          <wp:inline distT="0" distB="0" distL="0" distR="0" wp14:anchorId="560023DC" wp14:editId="5E6C9E6A">
            <wp:extent cx="1318307" cy="113136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6440" cy="1164089"/>
                    </a:xfrm>
                    <a:prstGeom prst="rect">
                      <a:avLst/>
                    </a:prstGeom>
                    <a:noFill/>
                  </pic:spPr>
                </pic:pic>
              </a:graphicData>
            </a:graphic>
          </wp:inline>
        </w:drawing>
      </w:r>
    </w:p>
    <w:p w:rsidR="000E535F" w:rsidRPr="0022009A" w:rsidRDefault="000E535F" w:rsidP="000E535F">
      <w:pPr>
        <w:pStyle w:val="WW-Default"/>
        <w:jc w:val="center"/>
        <w:rPr>
          <w:rFonts w:asciiTheme="minorHAnsi" w:hAnsiTheme="minorHAnsi" w:cstheme="minorHAnsi"/>
          <w:b/>
          <w:sz w:val="36"/>
        </w:rPr>
      </w:pPr>
      <w:r w:rsidRPr="0022009A">
        <w:rPr>
          <w:rFonts w:asciiTheme="minorHAnsi" w:hAnsiTheme="minorHAnsi" w:cstheme="minorHAnsi"/>
          <w:b/>
          <w:sz w:val="36"/>
        </w:rPr>
        <w:lastRenderedPageBreak/>
        <w:t xml:space="preserve">CHIROFLU </w:t>
      </w:r>
    </w:p>
    <w:p w:rsidR="000E535F" w:rsidRPr="00672862" w:rsidRDefault="000E535F" w:rsidP="000E535F">
      <w:pPr>
        <w:pStyle w:val="WW-Default"/>
        <w:jc w:val="center"/>
        <w:rPr>
          <w:rFonts w:asciiTheme="minorHAnsi" w:hAnsiTheme="minorHAnsi" w:cstheme="minorHAnsi"/>
        </w:rPr>
      </w:pPr>
      <w:r w:rsidRPr="00672862">
        <w:rPr>
          <w:rFonts w:asciiTheme="minorHAnsi" w:hAnsiTheme="minorHAnsi" w:cstheme="minorHAnsi"/>
          <w:b/>
        </w:rPr>
        <w:t xml:space="preserve">FICHA TÉCNICA </w:t>
      </w:r>
    </w:p>
    <w:p w:rsidR="000E535F" w:rsidRPr="00672862" w:rsidRDefault="000E535F" w:rsidP="000E535F">
      <w:pPr>
        <w:pStyle w:val="WW-Default"/>
        <w:jc w:val="both"/>
        <w:rPr>
          <w:rFonts w:asciiTheme="minorHAnsi" w:hAnsiTheme="minorHAnsi" w:cstheme="minorHAnsi"/>
        </w:rPr>
      </w:pP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b/>
          <w:bCs/>
          <w:sz w:val="22"/>
          <w:szCs w:val="22"/>
        </w:rPr>
        <w:t>1. NOMBRE DEL MEDICAMENTO</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
          <w:bCs/>
          <w:sz w:val="22"/>
          <w:szCs w:val="22"/>
        </w:rPr>
        <w:t>Chiroflu®</w:t>
      </w:r>
      <w:r w:rsidRPr="0022009A">
        <w:rPr>
          <w:rFonts w:asciiTheme="minorHAnsi" w:hAnsiTheme="minorHAnsi" w:cstheme="minorHAnsi"/>
          <w:bCs/>
          <w:sz w:val="22"/>
          <w:szCs w:val="22"/>
        </w:rPr>
        <w:t>, suspensión inyectable en jeringa precargada</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Vacuna antigripal de antígeno de superficie, inactivado.</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(CAMPAÑA 2018/2019)</w:t>
      </w:r>
    </w:p>
    <w:p w:rsidR="000E535F" w:rsidRPr="0022009A" w:rsidRDefault="000E535F" w:rsidP="000E535F">
      <w:pPr>
        <w:pStyle w:val="WW-Default"/>
        <w:jc w:val="both"/>
        <w:rPr>
          <w:rFonts w:asciiTheme="minorHAnsi" w:hAnsiTheme="minorHAnsi" w:cstheme="minorHAnsi"/>
          <w:bCs/>
          <w:sz w:val="22"/>
          <w:szCs w:val="22"/>
        </w:rPr>
      </w:pP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
          <w:bCs/>
          <w:sz w:val="22"/>
          <w:szCs w:val="22"/>
        </w:rPr>
        <w:t>2. COMPOSICIÓN CUALITATIVA Y CUANTITATIVA</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Antígenos de superficie de virus de la gripe (hemaglutinina y neuraminidasa), de las cepas*:</w:t>
      </w:r>
    </w:p>
    <w:p w:rsidR="000E535F" w:rsidRPr="0022009A" w:rsidRDefault="000E535F" w:rsidP="000E535F">
      <w:pPr>
        <w:pStyle w:val="WW-Default"/>
        <w:numPr>
          <w:ilvl w:val="0"/>
          <w:numId w:val="23"/>
        </w:numPr>
        <w:jc w:val="both"/>
        <w:rPr>
          <w:rFonts w:asciiTheme="minorHAnsi" w:hAnsiTheme="minorHAnsi" w:cstheme="minorHAnsi"/>
          <w:bCs/>
          <w:sz w:val="22"/>
          <w:szCs w:val="22"/>
        </w:rPr>
      </w:pPr>
      <w:r w:rsidRPr="0022009A">
        <w:rPr>
          <w:rFonts w:asciiTheme="minorHAnsi" w:hAnsiTheme="minorHAnsi" w:cstheme="minorHAnsi"/>
          <w:bCs/>
          <w:sz w:val="22"/>
          <w:szCs w:val="22"/>
        </w:rPr>
        <w:t>Cepa similar a A/Michigan/45/2015 (H1N1)pdm09 (A/Singapore/GP1908/2015, IVR-180)</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15 microgramos HA**</w:t>
      </w:r>
    </w:p>
    <w:p w:rsidR="000E535F" w:rsidRPr="0022009A" w:rsidRDefault="000E535F" w:rsidP="000E535F">
      <w:pPr>
        <w:pStyle w:val="WW-Default"/>
        <w:numPr>
          <w:ilvl w:val="0"/>
          <w:numId w:val="23"/>
        </w:numPr>
        <w:jc w:val="both"/>
        <w:rPr>
          <w:rFonts w:asciiTheme="minorHAnsi" w:hAnsiTheme="minorHAnsi" w:cstheme="minorHAnsi"/>
          <w:bCs/>
          <w:sz w:val="22"/>
          <w:szCs w:val="22"/>
        </w:rPr>
      </w:pPr>
      <w:r w:rsidRPr="0022009A">
        <w:rPr>
          <w:rFonts w:asciiTheme="minorHAnsi" w:hAnsiTheme="minorHAnsi" w:cstheme="minorHAnsi"/>
          <w:bCs/>
          <w:sz w:val="22"/>
          <w:szCs w:val="22"/>
        </w:rPr>
        <w:t>Cepa similar a A/Singapore/INFIMH-16-0019/2016 (H3N2) (A/Singapore/INFIMH-16-0019/2016, IVR-186)</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15 microgramos HA**</w:t>
      </w:r>
    </w:p>
    <w:p w:rsidR="000E535F" w:rsidRPr="0022009A" w:rsidRDefault="000E535F" w:rsidP="000E535F">
      <w:pPr>
        <w:pStyle w:val="WW-Default"/>
        <w:numPr>
          <w:ilvl w:val="0"/>
          <w:numId w:val="23"/>
        </w:numPr>
        <w:jc w:val="both"/>
        <w:rPr>
          <w:rFonts w:asciiTheme="minorHAnsi" w:hAnsiTheme="minorHAnsi" w:cstheme="minorHAnsi"/>
          <w:bCs/>
          <w:sz w:val="22"/>
          <w:szCs w:val="22"/>
        </w:rPr>
      </w:pPr>
      <w:r w:rsidRPr="0022009A">
        <w:rPr>
          <w:rFonts w:asciiTheme="minorHAnsi" w:hAnsiTheme="minorHAnsi" w:cstheme="minorHAnsi"/>
          <w:bCs/>
          <w:sz w:val="22"/>
          <w:szCs w:val="22"/>
        </w:rPr>
        <w:t xml:space="preserve">Cepa similar a B/Colorado/06/2017 (B/Maryland/15/2016, wild type): </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15 microgramos HA**</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 cultivados en huevos de gallina embrionados procedentes de pollos sanos</w:t>
      </w: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 hemaglutinina</w:t>
      </w:r>
    </w:p>
    <w:p w:rsidR="000E535F" w:rsidRPr="0022009A" w:rsidRDefault="000E535F" w:rsidP="000E535F">
      <w:pPr>
        <w:pStyle w:val="WW-Default"/>
        <w:jc w:val="both"/>
        <w:rPr>
          <w:rFonts w:asciiTheme="minorHAnsi" w:hAnsiTheme="minorHAnsi" w:cstheme="minorHAnsi"/>
          <w:bCs/>
          <w:sz w:val="22"/>
          <w:szCs w:val="22"/>
        </w:rPr>
      </w:pP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En una dosis de 0,5 ml.</w:t>
      </w:r>
    </w:p>
    <w:p w:rsidR="000E535F" w:rsidRPr="0022009A" w:rsidRDefault="000E535F" w:rsidP="000E535F">
      <w:pPr>
        <w:pStyle w:val="WW-Default"/>
        <w:jc w:val="both"/>
        <w:rPr>
          <w:rFonts w:asciiTheme="minorHAnsi" w:hAnsiTheme="minorHAnsi" w:cstheme="minorHAnsi"/>
          <w:bCs/>
          <w:sz w:val="22"/>
          <w:szCs w:val="22"/>
        </w:rPr>
      </w:pPr>
    </w:p>
    <w:p w:rsidR="000E535F" w:rsidRPr="0022009A" w:rsidRDefault="000E535F" w:rsidP="000E535F">
      <w:pPr>
        <w:pStyle w:val="WW-Default"/>
        <w:jc w:val="both"/>
        <w:rPr>
          <w:rFonts w:asciiTheme="minorHAnsi" w:hAnsiTheme="minorHAnsi" w:cstheme="minorHAnsi"/>
          <w:bCs/>
          <w:sz w:val="22"/>
          <w:szCs w:val="22"/>
        </w:rPr>
      </w:pPr>
      <w:r w:rsidRPr="0022009A">
        <w:rPr>
          <w:rFonts w:asciiTheme="minorHAnsi" w:hAnsiTheme="minorHAnsi" w:cstheme="minorHAnsi"/>
          <w:bCs/>
          <w:sz w:val="22"/>
          <w:szCs w:val="22"/>
        </w:rPr>
        <w:t>La vacuna cumple las recomendaciones de la OMS (hemisferio norte) y la decisión de la Unión Europea para la campaña de 2018/2019.</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Cs/>
          <w:sz w:val="22"/>
          <w:szCs w:val="22"/>
        </w:rPr>
        <w:t>Chiroflu puede contener trazas de huevo tales como ovoalbúmina o proteínas de pollo, así como kanamicina y sulfato de neomicina, formaldehído, bromuro de cetiltrimetilamonio (CTAB), polisorbato 80, sulfato de bario e hidrocortisona que se utilizan durante el proceso de fabricación (ver sección 4.3).</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Para consultar la lista completa de excipientes ver sección 6.1.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3. FORMA FARMACÉUTICA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Suspensión inyectable en jeringa precargada.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La vacuna se presenta en forma de líquido transparente.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b/>
          <w:bCs/>
          <w:sz w:val="22"/>
          <w:szCs w:val="22"/>
        </w:rPr>
        <w:t xml:space="preserve">4. DATOS CLÍNICOS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4.1. Indicaciones terapéuticas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Profilaxis contra la gripe, particularmente en sujetos con un mayor riesgo de complicaciones asociadas.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Chiroflu está indicado en adultos y niños a partir de 6 meses de edad.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El uso de Chiroflu debe estar basado en recomendaciones oficiales.</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4.2. Posología y forma de administración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Posología:</w:t>
      </w:r>
    </w:p>
    <w:p w:rsidR="000E535F" w:rsidRPr="0022009A" w:rsidRDefault="000E535F" w:rsidP="000E535F">
      <w:pPr>
        <w:pStyle w:val="WW-Default"/>
        <w:jc w:val="both"/>
        <w:rPr>
          <w:rFonts w:asciiTheme="minorHAnsi" w:hAnsiTheme="minorHAnsi" w:cstheme="minorHAnsi"/>
          <w:i/>
          <w:iCs/>
          <w:sz w:val="22"/>
          <w:szCs w:val="22"/>
        </w:rPr>
      </w:pPr>
      <w:r w:rsidRPr="0022009A">
        <w:rPr>
          <w:rFonts w:asciiTheme="minorHAnsi" w:hAnsiTheme="minorHAnsi" w:cstheme="minorHAnsi"/>
          <w:sz w:val="22"/>
          <w:szCs w:val="22"/>
        </w:rPr>
        <w:t xml:space="preserve">Adultos: 0,5 ml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i/>
          <w:iCs/>
          <w:sz w:val="22"/>
          <w:szCs w:val="22"/>
        </w:rPr>
        <w:t xml:space="preserve">Población pediátrica: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 Niños a partir de36 meses: una dosis de 0,5 ml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 Niños entre 6 y 35 meses de edad: los datos clínicos son limitados. Se pueden utilizar dosis de 0,25 ml o 0,5 ml. La dosis administrada debería cumplir con las recomendaciones nacionales existentes.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En niños que no han sido previamente vacunados, debe administrarse una segunda dosis tras un intervalo mínimo de 4 semanas.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Niños menores de 6 meses: no se han establecido ni la seguridad ni la eficacia de Chiroflu en niños menores de 6 meses.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No hay datos disponibles.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Forma de administración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La vacuna deberá administrarse mediante inyección intramuscular o subcutánea profunda.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lastRenderedPageBreak/>
        <w:t xml:space="preserve">Para consultar las instrucciones de preparación del medicamento antes de la administración, ver sección 6.6.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4.3. Contraindicaciones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Hipersensibilidad a los principios activos o a alguno de los excipientes incluidos en la sección 6.1 o a los residuos (p. ej., huevos o proteínas del pollo, como la ovoalbúmina).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Hipersensibilidad conocida a alguna de las siguientes sustancias, posiblemente contenidas como residuos: kanamicina y sulfato de neomicina, formaldehído, bromuro de cetiltrimetilamonio (CTAB), polisorbato 80, sulfato de bario e hidrocortisona.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Reacción anafilactoide previa a alguna vacuna de la gripe.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La inmunización deberá posponerse en los pacientes con enfermedad febril o infección aguda.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4.4. Advertencias y precauciones especiales de empleo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Como con todas las vacunas inyectables, se debe disponer de supervisión y tratamiento médico adecuado en el caso raro de que se produjesen reacciones anafilácticas tras la administración de la vacuna.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Bajo ninguna circunstancia deberá administrarse Chiroflu por vía intravascular.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Después de cualquier vacunación, o incluso antes, pueden producirse reacciones asociadas a la ansiedad, tales como reacciones vasovagales (síncope), hiperventilación o reacciones asociadas al estrés, como respuesta psicógena a la inyección con aguja. Durante la recuperación, esto puede ir acompañado de varios signos neurológicos tales como deterioro visual transitorio, parestesia y movimientos tónico-clónicos en extremidades. Es importante contar con los procedimientos necesarios para evitar que el paciente se lesione a causa de un desfallecimiento.</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La respuesta de los anticuerpos podría ser insuficiente en pacientes con inmunodeficiencia endógena o iatrogénica.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Personas sensibles al látex: Aunque no se ha detectado látex de caucho natural en el tapón de la punta de la jeringa, no se ha establecido la seguridad del uso de Chiroflu en personas sensibles al látex.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4.5. Interacción con otros medicamentos y otras formas de interacción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Chiroflu puede administrarse junto con otras vacunas. La inmunización debe realizarse en extremidades distintas. Se debe tener en cuenta que las reacciones adversas pueden intensificarse.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En los sujetos vacunados con la vacuna antigripal trivalente inactivada y la vacuna antineumocócica se ha notificado una mayor frecuencia de algunas reacciones sistémicas esperadas en comparación con los sujetos vacunados únicamente con la vacuna antigripal trivalente inactivada.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Es posible que la respuesta inmunológica se vea reducida en pacientes bajo tratamiento con inmunosupresores.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Se han observado resultados falsos positivos tras la vacunación con vacuna antigripal en ensayos serológicos que utilizan el método ELISA para detectar anticuerpos frente a VIH-1, virus de la Hepatitis C y, especialmente, HTLV-1. La técnica Western Blot permite identificar los falsos positivos de los resultados del método ELISA. Los resultados falsos positivos transitorios pueden ser debidos a la respuesta IgM inducida por la vacuna.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b/>
          <w:bCs/>
          <w:sz w:val="22"/>
          <w:szCs w:val="22"/>
        </w:rPr>
        <w:t xml:space="preserve">4.6. Fertilidad, embarazo y lactancia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Embarazo</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Las vacunas inactivadas contra la gripe pueden administrarse en todos los estadios del embarazo. Se dispone de numerosos datos de seguridad del segundo y tercer trimestre, en comparación con el primer trimestre; no obstante, los datos acerca del uso de vacunas inactivadas contra la gripe en el mundo no indican que la vacuna pudiera tener efectos adversos sobre la madre o el feto.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Lactancia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Chiroflu puede administrarse durante la lactancia.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Fertilidad</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No se dispone de datos sobre la fertilidad.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4.7. Efectos sobre la capacidad para conducir y utilizar máquinas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La influencia de Chiroflu sobre la capacidad para conducir y utilizar máquinas es nula o insignificante.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b/>
          <w:bCs/>
          <w:sz w:val="22"/>
          <w:szCs w:val="22"/>
        </w:rPr>
        <w:t xml:space="preserve">4.8. Reacciones adversas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Reacciones adversas durante los ensayos clínicos: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Se han observado las siguientes reacciones adversas durante los ensayos clínicos con las siguientes frecuencias:</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lastRenderedPageBreak/>
        <w:t xml:space="preserve">Muy frecuentes (≥ 1/10); frecuentes (≥ 1/100, &lt;1/10); poco frecuentes (≥ 1/1000, &lt;1/100); raras (≥ 1/10.000 &lt;1/1.000); muy raras (&lt;1/10.000), incluyendo las que ocurrieron de forma aislada. </w:t>
      </w:r>
    </w:p>
    <w:p w:rsidR="000E535F" w:rsidRPr="0022009A" w:rsidRDefault="000E535F" w:rsidP="000E535F">
      <w:pPr>
        <w:pStyle w:val="WW-Default"/>
        <w:jc w:val="both"/>
        <w:rPr>
          <w:rFonts w:asciiTheme="minorHAnsi" w:hAnsiTheme="minorHAnsi" w:cstheme="minorHAnsi"/>
          <w:sz w:val="22"/>
          <w:szCs w:val="22"/>
          <w:u w:val="single"/>
        </w:rPr>
      </w:pPr>
    </w:p>
    <w:p w:rsidR="000E535F" w:rsidRPr="0022009A" w:rsidRDefault="000E535F" w:rsidP="000E535F">
      <w:pPr>
        <w:pStyle w:val="WW-Default"/>
        <w:jc w:val="both"/>
        <w:rPr>
          <w:rFonts w:asciiTheme="minorHAnsi" w:hAnsiTheme="minorHAnsi" w:cstheme="minorHAnsi"/>
          <w:i/>
          <w:iCs/>
          <w:sz w:val="22"/>
          <w:szCs w:val="22"/>
        </w:rPr>
      </w:pPr>
      <w:r w:rsidRPr="0022009A">
        <w:rPr>
          <w:rFonts w:asciiTheme="minorHAnsi" w:hAnsiTheme="minorHAnsi" w:cstheme="minorHAnsi"/>
          <w:sz w:val="22"/>
          <w:szCs w:val="22"/>
          <w:u w:val="single"/>
        </w:rPr>
        <w:t xml:space="preserve">Trastornos del sistema nervioso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i/>
          <w:iCs/>
          <w:sz w:val="22"/>
          <w:szCs w:val="22"/>
        </w:rPr>
        <w:t>Frecuentes (≥1/100, &lt;1/10)</w:t>
      </w:r>
      <w:r w:rsidRPr="0022009A">
        <w:rPr>
          <w:rFonts w:asciiTheme="minorHAnsi" w:hAnsiTheme="minorHAnsi" w:cstheme="minorHAnsi"/>
          <w:sz w:val="22"/>
          <w:szCs w:val="22"/>
        </w:rPr>
        <w:t xml:space="preserve">: Cefalea* </w:t>
      </w:r>
    </w:p>
    <w:p w:rsidR="000E535F" w:rsidRPr="0022009A" w:rsidRDefault="000E535F" w:rsidP="000E535F">
      <w:pPr>
        <w:pStyle w:val="WW-Default"/>
        <w:jc w:val="both"/>
        <w:rPr>
          <w:rFonts w:asciiTheme="minorHAnsi" w:hAnsiTheme="minorHAnsi" w:cstheme="minorHAnsi"/>
          <w:i/>
          <w:iCs/>
          <w:sz w:val="22"/>
          <w:szCs w:val="22"/>
        </w:rPr>
      </w:pPr>
      <w:r w:rsidRPr="0022009A">
        <w:rPr>
          <w:rFonts w:asciiTheme="minorHAnsi" w:hAnsiTheme="minorHAnsi" w:cstheme="minorHAnsi"/>
          <w:sz w:val="22"/>
          <w:szCs w:val="22"/>
          <w:u w:val="single"/>
        </w:rPr>
        <w:t xml:space="preserve">Trastornos de la piel y del tejido subcutáneo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i/>
          <w:iCs/>
          <w:sz w:val="22"/>
          <w:szCs w:val="22"/>
        </w:rPr>
        <w:t>Frecuentes (≥1/100, &lt;1/10)</w:t>
      </w:r>
      <w:r w:rsidRPr="0022009A">
        <w:rPr>
          <w:rFonts w:asciiTheme="minorHAnsi" w:hAnsiTheme="minorHAnsi" w:cstheme="minorHAnsi"/>
          <w:sz w:val="22"/>
          <w:szCs w:val="22"/>
        </w:rPr>
        <w:t xml:space="preserve">: Sudoración* </w:t>
      </w:r>
    </w:p>
    <w:p w:rsidR="000E535F" w:rsidRPr="0022009A" w:rsidRDefault="000E535F" w:rsidP="000E535F">
      <w:pPr>
        <w:pStyle w:val="WW-Default"/>
        <w:jc w:val="both"/>
        <w:rPr>
          <w:rFonts w:asciiTheme="minorHAnsi" w:hAnsiTheme="minorHAnsi" w:cstheme="minorHAnsi"/>
          <w:i/>
          <w:iCs/>
          <w:sz w:val="22"/>
          <w:szCs w:val="22"/>
        </w:rPr>
      </w:pPr>
      <w:r w:rsidRPr="0022009A">
        <w:rPr>
          <w:rFonts w:asciiTheme="minorHAnsi" w:hAnsiTheme="minorHAnsi" w:cstheme="minorHAnsi"/>
          <w:sz w:val="22"/>
          <w:szCs w:val="22"/>
          <w:u w:val="single"/>
        </w:rPr>
        <w:t xml:space="preserve">Trastornos musculoesqueléticos y del tejido conjuntivo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i/>
          <w:iCs/>
          <w:sz w:val="22"/>
          <w:szCs w:val="22"/>
        </w:rPr>
        <w:t>Frecuentes (≥1/100, &lt;1/10)</w:t>
      </w:r>
      <w:r w:rsidRPr="0022009A">
        <w:rPr>
          <w:rFonts w:asciiTheme="minorHAnsi" w:hAnsiTheme="minorHAnsi" w:cstheme="minorHAnsi"/>
          <w:sz w:val="22"/>
          <w:szCs w:val="22"/>
        </w:rPr>
        <w:t xml:space="preserve">: Mialgia, artralgia* </w:t>
      </w:r>
    </w:p>
    <w:p w:rsidR="000E535F" w:rsidRPr="0022009A" w:rsidRDefault="000E535F" w:rsidP="000E535F">
      <w:pPr>
        <w:pStyle w:val="WW-Default"/>
        <w:jc w:val="both"/>
        <w:rPr>
          <w:rFonts w:asciiTheme="minorHAnsi" w:hAnsiTheme="minorHAnsi" w:cstheme="minorHAnsi"/>
          <w:i/>
          <w:iCs/>
          <w:sz w:val="22"/>
          <w:szCs w:val="22"/>
        </w:rPr>
      </w:pPr>
      <w:r w:rsidRPr="0022009A">
        <w:rPr>
          <w:rFonts w:asciiTheme="minorHAnsi" w:hAnsiTheme="minorHAnsi" w:cstheme="minorHAnsi"/>
          <w:sz w:val="22"/>
          <w:szCs w:val="22"/>
          <w:u w:val="single"/>
        </w:rPr>
        <w:t xml:space="preserve">Trastornos generales y alteraciones en el lugar de administración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i/>
          <w:iCs/>
          <w:sz w:val="22"/>
          <w:szCs w:val="22"/>
        </w:rPr>
        <w:t>Frecuentes (≥1/100, &lt;1/10)</w:t>
      </w:r>
      <w:r w:rsidRPr="0022009A">
        <w:rPr>
          <w:rFonts w:asciiTheme="minorHAnsi" w:hAnsiTheme="minorHAnsi" w:cstheme="minorHAnsi"/>
          <w:sz w:val="22"/>
          <w:szCs w:val="22"/>
        </w:rPr>
        <w:t xml:space="preserve">: Fiebre, malestar, escalofríos, fatiga.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Reacciones locales: enrojecimiento, inflamación, dolor, equimosis, induración.*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*Estas reacciones habitualmente desaparecen tras 1-2 días sin necesidad de tratamiento.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Reacciones adversas notificadas durante la vigilancia post-comercialización </w:t>
      </w:r>
    </w:p>
    <w:p w:rsidR="000E535F" w:rsidRPr="0022009A" w:rsidRDefault="000E535F" w:rsidP="000E535F">
      <w:pPr>
        <w:pStyle w:val="WW-Default"/>
        <w:jc w:val="both"/>
        <w:rPr>
          <w:rFonts w:asciiTheme="minorHAnsi" w:hAnsiTheme="minorHAnsi" w:cstheme="minorHAnsi"/>
          <w:sz w:val="22"/>
          <w:szCs w:val="22"/>
        </w:rPr>
      </w:pP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Las reacciones adversas notificadas durante la vigilancia post-comercialización son, junto a las reacciones que también se han observado durante los ensayos clínicos, las siguientes: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Trastornos de la sangre y del sistema linfático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Trombocitopenia (algunos casos muy raros fueron graves con recuentos plaquetarios inferiores a 5.000 por mm3), linfadenopatía.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Trastornos generales y alteraciones en el lugar de administración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Reacción similar a la celulitis en la zona de inyección (algunos casos de hinchazón, dolor y enrojecimiento en la zona de inyección que se extiende a lo largo de más de 10 cm y dura más de una semana), hinchazón extendida de la extremidad, durante más de una semana, donde ha sido inyectada la vacuna.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Trastornos del sistema inmunológico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Reacciones alérgicas, que raramente desencadenan en shock, angioedema.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Trastornos del sistema nervioso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Neuralgia, parestesia, convulsiones febriles, alteraciones neurológicas, como encefalomielitis, neuritis, síndrome de Guillain-Barré, síncope, presíncope.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Trastornos vasculares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Vasculitis raramente asociada a implicación renal transitoria.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Trastornos de la piel y del tejido subcutáneo </w:t>
      </w:r>
    </w:p>
    <w:p w:rsidR="000E535F" w:rsidRPr="0022009A" w:rsidRDefault="000E535F" w:rsidP="000E535F">
      <w:pPr>
        <w:pStyle w:val="WW-Default"/>
        <w:jc w:val="both"/>
        <w:rPr>
          <w:rFonts w:asciiTheme="minorHAnsi" w:hAnsiTheme="minorHAnsi" w:cstheme="minorHAnsi"/>
          <w:sz w:val="22"/>
          <w:szCs w:val="22"/>
          <w:u w:val="single"/>
        </w:rPr>
      </w:pPr>
      <w:r w:rsidRPr="0022009A">
        <w:rPr>
          <w:rFonts w:asciiTheme="minorHAnsi" w:hAnsiTheme="minorHAnsi" w:cstheme="minorHAnsi"/>
          <w:sz w:val="22"/>
          <w:szCs w:val="22"/>
        </w:rPr>
        <w:t xml:space="preserve">Reacciones generalizadas de la piel incluido prurito, urticaria o erupciones no específicas. </w:t>
      </w:r>
    </w:p>
    <w:p w:rsidR="000E535F" w:rsidRPr="0022009A" w:rsidRDefault="000E535F" w:rsidP="000E535F">
      <w:pPr>
        <w:pStyle w:val="WW-Default"/>
        <w:jc w:val="both"/>
        <w:rPr>
          <w:rFonts w:asciiTheme="minorHAnsi" w:hAnsiTheme="minorHAnsi" w:cstheme="minorHAnsi"/>
          <w:sz w:val="22"/>
          <w:szCs w:val="22"/>
          <w:u w:val="single"/>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u w:val="single"/>
        </w:rPr>
        <w:t xml:space="preserve">Notificación de sospechas de reacciones adversas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Es importante notificar las sospechas de reacciones adversas al medicamento tras su autorización. Ello permite una supervisión continuada de la relación beneficio/riesgo del medicamento. Se invita a los profesionales sanitarios a notificar las sospechas de reacciones adversas a través del Sistema Español de Farmacovigilancia de Medicamentos de Uso Humano en </w:t>
      </w:r>
      <w:hyperlink r:id="rId29" w:history="1">
        <w:r w:rsidRPr="0022009A">
          <w:rPr>
            <w:rStyle w:val="Hipervnculo"/>
            <w:rFonts w:asciiTheme="minorHAnsi" w:hAnsiTheme="minorHAnsi" w:cstheme="minorHAnsi"/>
            <w:sz w:val="22"/>
            <w:szCs w:val="22"/>
          </w:rPr>
          <w:t>www.notificaRAM.es</w:t>
        </w:r>
      </w:hyperlink>
      <w:r w:rsidRPr="0022009A">
        <w:rPr>
          <w:rFonts w:asciiTheme="minorHAnsi" w:hAnsiTheme="minorHAnsi" w:cstheme="minorHAnsi"/>
          <w:sz w:val="22"/>
          <w:szCs w:val="22"/>
        </w:rPr>
        <w:t>.</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4.9. Sobredosis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Es poco probable que la sobredosificación tenga algún efecto desfavorable.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b/>
          <w:bCs/>
          <w:sz w:val="22"/>
          <w:szCs w:val="22"/>
        </w:rPr>
        <w:t xml:space="preserve">5. PROPIEDADES FARMACOLÓGICAS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5.1. Propiedades farmacodinámicas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Grupo farmacoterapéutico: vacunas contra la gripe; código ATC: J07B B02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La protección sérica se obtiene generalmente al cabo de 2 a 3 semanas. La duración de la inmunidad postvacunal a cepas homólogas o a cepas estrechamente relacionadas con las de la vacuna varía, pero es normalmente de 6-12 meses.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5.2. Propiedades farmacocinéticas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No procede.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lastRenderedPageBreak/>
        <w:t xml:space="preserve">5.3. Datos preclínicos sobre seguridad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Los datos preclínicos de estudios con animales adecuados para la evaluación de la seguridad de las vacunas no muestran ningún riesgo específico para el hombre.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b/>
          <w:bCs/>
          <w:sz w:val="22"/>
          <w:szCs w:val="22"/>
        </w:rPr>
        <w:t xml:space="preserve">6. DATOS FARMACÉUTICOS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6.1. Lista de excipientes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Cloruro sódico, cloruro potásico, fosfato potásico dihidrogenado, fosfato disódico dihidrato, cloruro magnésico hexahidrato, cloruro cálcico dihidrato y agua para inyectables.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6.2. Incompatibilidades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En ausencia de estudios de compatibilidad, esta vacuna no debe mezclarse con otros medicamentos.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6.3. Periodo de validez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1 año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6.4. Precauciones especiales de conservación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Conservar en nevera (2°C - 8°C). No congelar. Desechar si la vacuna se ha congelado. Mantener la jeringa dentro de la caja para protegerla de la luz.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6.5. Naturaleza y contenido del envase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0,5 ml de suspensión en una jeringa precargada (vidrio de Tipo I) con aguja (23 G, 1’’ o 25 G, 1’’ o 25 G, 5/8’’), provista de un tapón émbolo de caucho- envase de 1 o de 10 jeringas.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0,5 ml de suspensión en una jeringa precargada (vidrio de Tipo I) sin aguja, provista de un tapón émbolo de caucho- envase de 1 o de 10 jeringas. La jeringa sin aguja puede proporcionarse con un sistema Luer lock.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Puede que solamente estén comercializados algunos tamaños de envases.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6.6. Precauciones especiales de eliminación y otras manipulaciones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La vacuna debe alcanzar la temperatura ambiente antes de su utilización.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Agítela antes de usar. Después de agitar, el aspecto normal de Chiroflu es el de un líquido transparente.</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Inspeccionar visualmente Chiroflu para ver si presenta partículas o decoloración antes de su administración. Si observa cualquiera de estas condiciones, no utilice el contenido.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Cuando se use una jeringa precargada suministrada sin aguja, retire el tapón de la jeringa y después coloque una aguja apropiada para la administración.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Para las jeringas con Luer lock, quite la tapa de la punta desenroscando en sentido contrario a las agujas del reloj. Una vez que ha quitado la tapa, acople una aguja en la jeringa enroscando en el sentido de las agujas del reloj hasta que encaje. Una vez que la aguja está colocada en su sitio, elimine el protector de la aguja y administre la vacuna.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Cuando la dosis a administrar sea la mitad de la dosis (0,25 ml), deseche la otra mitad del volumen, sujetando la jeringa en posición vertical y empujando el émbolo hasta que el borde frontal del tapón alcance la marca indicada en el cilindro de la jeringa. Inyecte todo el contenido restante (0,25 ml) de la jeringa.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La eliminación del medicamento no utilizado y de todos los materiales que hayan estado en contacto con él, se realizará de acuerdo con la normativa local. </w:t>
      </w:r>
    </w:p>
    <w:p w:rsidR="000E535F" w:rsidRPr="0022009A" w:rsidRDefault="000E535F" w:rsidP="000E535F">
      <w:pPr>
        <w:pStyle w:val="WW-Default"/>
        <w:jc w:val="both"/>
        <w:rPr>
          <w:rFonts w:asciiTheme="minorHAnsi" w:hAnsiTheme="minorHAnsi" w:cstheme="minorHAnsi"/>
          <w:b/>
          <w:bCs/>
          <w:sz w:val="22"/>
          <w:szCs w:val="22"/>
        </w:rPr>
      </w:pPr>
      <w:r>
        <w:rPr>
          <w:noProof/>
          <w:lang w:eastAsia="es-ES"/>
        </w:rPr>
        <w:drawing>
          <wp:anchor distT="0" distB="0" distL="114300" distR="114300" simplePos="0" relativeHeight="251659264" behindDoc="1" locked="0" layoutInCell="1" allowOverlap="1" wp14:anchorId="24479BD2" wp14:editId="6A3186D3">
            <wp:simplePos x="0" y="0"/>
            <wp:positionH relativeFrom="column">
              <wp:posOffset>4686935</wp:posOffset>
            </wp:positionH>
            <wp:positionV relativeFrom="paragraph">
              <wp:posOffset>99695</wp:posOffset>
            </wp:positionV>
            <wp:extent cx="2118995" cy="1594485"/>
            <wp:effectExtent l="0" t="0" r="0" b="5715"/>
            <wp:wrapTight wrapText="bothSides">
              <wp:wrapPolygon edited="0">
                <wp:start x="0" y="0"/>
                <wp:lineTo x="0" y="21419"/>
                <wp:lineTo x="21361" y="21419"/>
                <wp:lineTo x="2136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8995" cy="1594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7. TITULAR DE LA AUTORIZACIÓN DE COMERCIALIZACIÓN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Seqirus Srl, Via Fiorentina 1, 53100 Siena, Italia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 xml:space="preserve">8. NÚMERO(S) DE AUTORIZACIÓN DE COMERCIALIZACIÓN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62.792 </w:t>
      </w:r>
    </w:p>
    <w:p w:rsidR="000E535F" w:rsidRPr="0022009A" w:rsidRDefault="000E535F" w:rsidP="000E535F">
      <w:pPr>
        <w:pStyle w:val="WW-Default"/>
        <w:jc w:val="both"/>
        <w:rPr>
          <w:rFonts w:asciiTheme="minorHAnsi" w:hAnsiTheme="minorHAnsi" w:cstheme="minorHAnsi"/>
          <w:sz w:val="22"/>
          <w:szCs w:val="22"/>
        </w:rPr>
      </w:pPr>
      <w:r>
        <w:rPr>
          <w:rFonts w:ascii="Century Gothic" w:eastAsia="CenturyGothic" w:hAnsi="Century Gothic" w:cs="Arial"/>
          <w:b/>
          <w:bCs/>
          <w:noProof/>
          <w:color w:val="2E74B5"/>
          <w:sz w:val="32"/>
          <w:szCs w:val="32"/>
          <w:lang w:eastAsia="es-ES"/>
        </w:rPr>
        <w:drawing>
          <wp:anchor distT="0" distB="0" distL="114300" distR="114300" simplePos="0" relativeHeight="251660288" behindDoc="1" locked="0" layoutInCell="1" allowOverlap="1" wp14:anchorId="090E4E0F" wp14:editId="04D53D2A">
            <wp:simplePos x="0" y="0"/>
            <wp:positionH relativeFrom="column">
              <wp:posOffset>2875280</wp:posOffset>
            </wp:positionH>
            <wp:positionV relativeFrom="paragraph">
              <wp:posOffset>27940</wp:posOffset>
            </wp:positionV>
            <wp:extent cx="897255" cy="1434465"/>
            <wp:effectExtent l="0" t="1905" r="0" b="0"/>
            <wp:wrapTight wrapText="bothSides">
              <wp:wrapPolygon edited="0">
                <wp:start x="-46" y="21571"/>
                <wp:lineTo x="21050" y="21571"/>
                <wp:lineTo x="21050" y="344"/>
                <wp:lineTo x="-46" y="344"/>
                <wp:lineTo x="-46" y="21571"/>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897255" cy="143446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22009A">
        <w:rPr>
          <w:rFonts w:asciiTheme="minorHAnsi" w:hAnsiTheme="minorHAnsi" w:cstheme="minorHAnsi"/>
          <w:b/>
          <w:bCs/>
          <w:sz w:val="22"/>
          <w:szCs w:val="22"/>
        </w:rPr>
        <w:t xml:space="preserve">9. FECHA DE LA PRIMERA AUTORIZACIÓN/ RENOVACIÓN DE LA AUTORIZACIÓN </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 xml:space="preserve">16/12/1999 </w:t>
      </w:r>
    </w:p>
    <w:p w:rsidR="000E535F" w:rsidRPr="0022009A" w:rsidRDefault="000E535F" w:rsidP="000E535F">
      <w:pPr>
        <w:pStyle w:val="WW-Default"/>
        <w:jc w:val="both"/>
        <w:rPr>
          <w:rFonts w:asciiTheme="minorHAnsi" w:hAnsiTheme="minorHAnsi" w:cstheme="minorHAnsi"/>
          <w:b/>
          <w:bCs/>
          <w:sz w:val="22"/>
          <w:szCs w:val="22"/>
        </w:rPr>
      </w:pPr>
      <w:r w:rsidRPr="0022009A">
        <w:rPr>
          <w:rFonts w:asciiTheme="minorHAnsi" w:hAnsiTheme="minorHAnsi" w:cstheme="minorHAnsi"/>
          <w:sz w:val="22"/>
          <w:szCs w:val="22"/>
        </w:rPr>
        <w:t xml:space="preserve">22/01/2009 </w:t>
      </w:r>
    </w:p>
    <w:p w:rsidR="000E535F" w:rsidRPr="0022009A" w:rsidRDefault="000E535F" w:rsidP="000E535F">
      <w:pPr>
        <w:pStyle w:val="WW-Default"/>
        <w:jc w:val="both"/>
        <w:rPr>
          <w:rFonts w:asciiTheme="minorHAnsi" w:hAnsiTheme="minorHAnsi" w:cstheme="minorHAnsi"/>
          <w:b/>
          <w:bCs/>
          <w:sz w:val="22"/>
          <w:szCs w:val="22"/>
        </w:rPr>
      </w:pP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b/>
          <w:bCs/>
          <w:sz w:val="22"/>
          <w:szCs w:val="22"/>
        </w:rPr>
        <w:t>10. FECHA DE LA REVISIÓN DEL TEXTO</w:t>
      </w:r>
    </w:p>
    <w:p w:rsidR="000E535F" w:rsidRPr="0022009A" w:rsidRDefault="000E535F" w:rsidP="000E535F">
      <w:pPr>
        <w:pStyle w:val="WW-Default"/>
        <w:jc w:val="both"/>
        <w:rPr>
          <w:rFonts w:asciiTheme="minorHAnsi" w:hAnsiTheme="minorHAnsi" w:cstheme="minorHAnsi"/>
          <w:sz w:val="22"/>
          <w:szCs w:val="22"/>
        </w:rPr>
      </w:pPr>
      <w:r w:rsidRPr="0022009A">
        <w:rPr>
          <w:rFonts w:asciiTheme="minorHAnsi" w:hAnsiTheme="minorHAnsi" w:cstheme="minorHAnsi"/>
          <w:sz w:val="22"/>
          <w:szCs w:val="22"/>
        </w:rPr>
        <w:t>07/2018</w:t>
      </w:r>
    </w:p>
    <w:p w:rsidR="000E535F" w:rsidRDefault="000E535F" w:rsidP="000E535F">
      <w:pPr>
        <w:pStyle w:val="WW-Default"/>
        <w:jc w:val="center"/>
        <w:rPr>
          <w:sz w:val="22"/>
          <w:szCs w:val="22"/>
        </w:rPr>
      </w:pPr>
    </w:p>
    <w:p w:rsidR="000E535F" w:rsidRPr="00F4741F" w:rsidRDefault="000E535F" w:rsidP="000E535F">
      <w:pPr>
        <w:pStyle w:val="WW-Default"/>
        <w:jc w:val="center"/>
        <w:rPr>
          <w:rFonts w:asciiTheme="minorHAnsi" w:hAnsiTheme="minorHAnsi" w:cstheme="minorHAnsi"/>
          <w:b/>
          <w:bCs/>
          <w:sz w:val="36"/>
          <w:szCs w:val="36"/>
        </w:rPr>
      </w:pPr>
      <w:r w:rsidRPr="00F4741F">
        <w:rPr>
          <w:rFonts w:asciiTheme="minorHAnsi" w:hAnsiTheme="minorHAnsi" w:cstheme="minorHAnsi"/>
          <w:b/>
          <w:bCs/>
          <w:sz w:val="36"/>
          <w:szCs w:val="36"/>
        </w:rPr>
        <w:lastRenderedPageBreak/>
        <w:t xml:space="preserve">CHIROMAS </w:t>
      </w:r>
    </w:p>
    <w:p w:rsidR="000E535F" w:rsidRPr="00F4741F" w:rsidRDefault="000E535F" w:rsidP="000E535F">
      <w:pPr>
        <w:pStyle w:val="WW-Default"/>
        <w:jc w:val="center"/>
        <w:rPr>
          <w:rFonts w:asciiTheme="minorHAnsi" w:hAnsiTheme="minorHAnsi" w:cstheme="minorHAnsi"/>
        </w:rPr>
      </w:pPr>
      <w:r w:rsidRPr="00F4741F">
        <w:rPr>
          <w:rFonts w:asciiTheme="minorHAnsi" w:hAnsiTheme="minorHAnsi" w:cstheme="minorHAnsi"/>
          <w:b/>
          <w:bCs/>
        </w:rPr>
        <w:t xml:space="preserve">FICHA TÉCNICA </w:t>
      </w:r>
    </w:p>
    <w:p w:rsidR="000E535F" w:rsidRPr="00F4741F" w:rsidRDefault="000E535F" w:rsidP="000E535F">
      <w:pPr>
        <w:pStyle w:val="WW-Default"/>
        <w:jc w:val="center"/>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b/>
          <w:sz w:val="22"/>
          <w:szCs w:val="22"/>
        </w:rPr>
      </w:pPr>
      <w:r w:rsidRPr="00C03CD5">
        <w:rPr>
          <w:rFonts w:asciiTheme="minorHAnsi" w:hAnsiTheme="minorHAnsi" w:cstheme="minorHAnsi"/>
          <w:b/>
          <w:bCs/>
          <w:sz w:val="22"/>
          <w:szCs w:val="22"/>
        </w:rPr>
        <w:t xml:space="preserve">1. NOMBRE DEL MEDICAMENTO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sz w:val="22"/>
          <w:szCs w:val="22"/>
        </w:rPr>
        <w:t>Chiromas®</w:t>
      </w:r>
      <w:r w:rsidRPr="00C03CD5">
        <w:rPr>
          <w:rFonts w:asciiTheme="minorHAnsi" w:hAnsiTheme="minorHAnsi" w:cstheme="minorHAnsi"/>
          <w:sz w:val="22"/>
          <w:szCs w:val="22"/>
        </w:rPr>
        <w:t xml:space="preserve">, suspensión inyectable en jeringa precargada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Vacuna antigripal de antígeno de superficie, inactivado, con adyuvante MF59C.1.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(CAMPAÑA 2018/2019)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2. COMPOSICIÓN CUALITATIVA Y CUANTITATIVA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Antígenos de superficie de virus de la gripe (hemaglutinina y neuraminidasa)* de las cepas: </w:t>
      </w:r>
    </w:p>
    <w:p w:rsidR="000E535F" w:rsidRPr="00C03CD5" w:rsidRDefault="000E535F" w:rsidP="000E535F">
      <w:pPr>
        <w:pStyle w:val="WW-Default"/>
        <w:numPr>
          <w:ilvl w:val="0"/>
          <w:numId w:val="14"/>
        </w:numPr>
        <w:jc w:val="both"/>
        <w:rPr>
          <w:rFonts w:asciiTheme="minorHAnsi" w:hAnsiTheme="minorHAnsi" w:cstheme="minorHAnsi"/>
          <w:sz w:val="22"/>
          <w:szCs w:val="22"/>
        </w:rPr>
      </w:pPr>
      <w:r w:rsidRPr="00C03CD5">
        <w:rPr>
          <w:rFonts w:asciiTheme="minorHAnsi" w:hAnsiTheme="minorHAnsi" w:cstheme="minorHAnsi"/>
          <w:sz w:val="22"/>
          <w:szCs w:val="22"/>
        </w:rPr>
        <w:t xml:space="preserve">Cepa similar a A/Michigan/45/2015 (H1N1)pdm09 (A/Singapore/GP1908/2015, IVR-180) 15 microgramos HA** </w:t>
      </w:r>
    </w:p>
    <w:p w:rsidR="000E535F" w:rsidRPr="00C03CD5" w:rsidRDefault="000E535F" w:rsidP="000E535F">
      <w:pPr>
        <w:pStyle w:val="WW-Default"/>
        <w:numPr>
          <w:ilvl w:val="0"/>
          <w:numId w:val="14"/>
        </w:numPr>
        <w:jc w:val="both"/>
        <w:rPr>
          <w:rFonts w:asciiTheme="minorHAnsi" w:hAnsiTheme="minorHAnsi" w:cstheme="minorHAnsi"/>
          <w:sz w:val="22"/>
          <w:szCs w:val="22"/>
        </w:rPr>
      </w:pPr>
      <w:r w:rsidRPr="00C03CD5">
        <w:rPr>
          <w:rFonts w:asciiTheme="minorHAnsi" w:hAnsiTheme="minorHAnsi" w:cstheme="minorHAnsi"/>
          <w:sz w:val="22"/>
          <w:szCs w:val="22"/>
        </w:rPr>
        <w:t xml:space="preserve">Cepa similar a A/Singapore/INFIMH-16-0019/2016 (H3N2) (A/Singapore/INFIMH-16-0019/2016, IVR-186) 15 microgramos HA** </w:t>
      </w:r>
    </w:p>
    <w:p w:rsidR="000E535F" w:rsidRPr="00C03CD5" w:rsidRDefault="000E535F" w:rsidP="000E535F">
      <w:pPr>
        <w:pStyle w:val="WW-Default"/>
        <w:numPr>
          <w:ilvl w:val="0"/>
          <w:numId w:val="14"/>
        </w:numPr>
        <w:jc w:val="both"/>
        <w:rPr>
          <w:rFonts w:asciiTheme="minorHAnsi" w:hAnsiTheme="minorHAnsi" w:cstheme="minorHAnsi"/>
          <w:sz w:val="22"/>
          <w:szCs w:val="22"/>
        </w:rPr>
      </w:pPr>
      <w:r w:rsidRPr="00C03CD5">
        <w:rPr>
          <w:rFonts w:asciiTheme="minorHAnsi" w:hAnsiTheme="minorHAnsi" w:cstheme="minorHAnsi"/>
          <w:sz w:val="22"/>
          <w:szCs w:val="22"/>
        </w:rPr>
        <w:t>Cepa similar a B/Colorado/06/2017 (B/Maryland/15/2016, wild type) 15 microgramos HA**</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*cultivados en huevos de gallina embrionados procedentes de pollos sanos y con adyuvante MF59C.1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**hemaglutinina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Adyuvante: MF59C.1 es un adyuvante exclusivo: 9,75 mg de escualeno; 1,175 mg de polisorbato 80; 1,175 mg de sorbitol trioleato; 0,66 de citrato de sodio; 0,04 mg de ácido cítrico y agua para inyección. </w:t>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En una dosis de 0,5 ml. </w:t>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vacuna cumple las recomendaciones de la OMS (hemisferio norte) y la decisión de la Unión Europea para la campaña 2018/2019.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Chiromas puede contener trazas de huevo tales como ovoalbúmina o proteínas de pollo, así como kanamicina y sulfato de neomicina, formaldehído, bromuro de cetiltrimetilamonio (CTAB), sulfato de bario e hidrocortisona que se utilizan durante el proceso de fabricación (ver sección 4.3). </w:t>
      </w:r>
    </w:p>
    <w:p w:rsidR="000E535F" w:rsidRPr="00C03CD5" w:rsidRDefault="000E535F" w:rsidP="000E535F">
      <w:pPr>
        <w:pStyle w:val="WW-Default"/>
        <w:jc w:val="both"/>
        <w:rPr>
          <w:rFonts w:asciiTheme="minorHAnsi" w:hAnsiTheme="minorHAnsi" w:cstheme="minorHAnsi"/>
        </w:rPr>
      </w:pPr>
      <w:r w:rsidRPr="00C03CD5">
        <w:rPr>
          <w:rFonts w:asciiTheme="minorHAnsi" w:hAnsiTheme="minorHAnsi" w:cstheme="minorHAnsi"/>
          <w:sz w:val="22"/>
          <w:szCs w:val="22"/>
        </w:rPr>
        <w:t>Para consultar la lista completa de excipientes, ver sección 6.1.</w:t>
      </w:r>
    </w:p>
    <w:p w:rsidR="000E535F" w:rsidRPr="00C03CD5" w:rsidRDefault="000E535F" w:rsidP="000E535F">
      <w:pPr>
        <w:pStyle w:val="WW-Default"/>
        <w:jc w:val="both"/>
        <w:rPr>
          <w:rFonts w:asciiTheme="minorHAnsi" w:hAnsiTheme="minorHAnsi" w:cstheme="minorHAnsi"/>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rPr>
        <w:t xml:space="preserve"> </w:t>
      </w:r>
      <w:r w:rsidRPr="00C03CD5">
        <w:rPr>
          <w:rFonts w:asciiTheme="minorHAnsi" w:hAnsiTheme="minorHAnsi" w:cstheme="minorHAnsi"/>
          <w:b/>
          <w:bCs/>
          <w:sz w:val="22"/>
          <w:szCs w:val="22"/>
        </w:rPr>
        <w:t xml:space="preserve">3. FORMA FARMACÉUTICA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Suspensión inyectable en jeringa precargada.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Esta vacuna se presenta como una suspensión blanca lechosa.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b/>
          <w:bCs/>
          <w:sz w:val="22"/>
          <w:szCs w:val="22"/>
        </w:rPr>
        <w:t>4. DATOS CLÍNICOS</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4.1. Indicaciones terapéuticas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Inmunización activa contra la gripe en las personas ancianas (65 años de edad y mayores), especialmente en los sujetos que corren mayor riesgo de complicaciones asociadas.</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El uso de Chiromas debe basarse en las recomendaciones oficiales.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b/>
          <w:bCs/>
          <w:sz w:val="22"/>
          <w:szCs w:val="22"/>
        </w:rPr>
        <w:t xml:space="preserve">4.2. Posología y forma de administración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Posología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 xml:space="preserve">Se debe administrar una sola dosis de 0,5 ml por inyección intramuscular en el músculo deltoideo. Debido a la presencia del adyuvante, la inyección debe suministrarse con una aguja de 25 mm.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Forma de administración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Para consultar las instrucciones de preparación, ver sección 6.6.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4.3. Contraindicaciones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Hipersensibilidad a los principios activos, componentes del adyuvante, excipientes, residuos (p. ej., huevos o proteínas del pollo, como la ovoalbúmina) o cualquiera que haya tenido una reacción anafilactoide a una vacuna antigripal anterior.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vacuna puede contener residuos de las siguientes sustancias: kanamicina y sulfato de neomicina, formaldehído, bromuro de cetiltrimetilamonio (CTAB), sulfato de bario e hidrocortisona.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La inmunización deberá posponerse en los pacientes con enfermedad febril o infección aguda.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4.4. Advertencias y precauciones especiales de empleo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Como con todas las vacunas inyectables, se debe disponer de supervisión y tratamiento médico apropiado en caso de que se produjesen reacciones anafilácticas tras la administración de la vacuna.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Bajo ninguna circunstancia deberá administrarse Chiromas por vía intravascular o subcutánea.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Después de cualquier vacunación, o incluso antes, pueden producirse reacciones asociadas a la ansiedad, tales como reacciones vasovagales (síncope), hiperventilación o reacciones asociadas al estrés, como respuesta psicógena a la inyección con aguja Durante la recuperación, esto puede ir acompañado de varios signos neurológicos tales como deterioro visual transitorio, parestesia y movimientos tónico-clónicos en extremidades. Es importante contar con los procedimientos necesarios para evitar que el paciente se lesione a causa de un desfallecimiento.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respuesta de anticuerpos puede ser insuficiente en pacientes con inmunodeficiencia endógena o yatrogénica.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Puede que no se provoque una respuesta protectora en todos los vacunados.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Personas sensibles al látex: Aunque no se ha detectado látex de caucho natural en el tapón de la punta de la jeringa, no se ha establecido la seguridad del uso de Chiromas en personas sensibles al látex.</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4.5. Interacción con otros medicamentos y otras formas de interacción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No hay datos disponibles acerca de la administración concomitante con otras vacunas.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Si es necesario utilizar Chiromas al mismo tiempo que otra vacuna, la inmunización debe realizarse en extremidades distintas. Se debe tener en cuenta que las reacciones adversas pueden intensificarse.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En los sujetos vacunados con la vacuna antigripal trivalente inactivada y la vacuna antineumocócica se ha notificado una mayor frecuencia de algunas reacciones sistémicas esperadas en comparación con los sujetos vacunados únicamente con la vacuna antigripal trivalente inactivada.</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respuesta inmunológica puede reducirse en pacientes bajo tratamiento con inmunosupresor.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Se han observado resultados falsos positivos tras la vacunación con vacuna antigripal en los ensayos serológicos que utilizan el método ELISA para detectar anticuerpos frente a VIH-1, virus de la Hepatitis C y, especialmente, HTLV-1. La técnica Western Blot permite identificar los falsos positivos de los resultados del método ELISA. Los resultados falsos positivos transitorios pueden ser debidos a la respuesta IgM inducida por la vacuna.</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4.6. Fertilidad, embarazo y lactancia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No procede.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4.7. Efectos sobre la capacidad para conducir y utilizar máquinas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La influencia de Chiromas sobre la capacidad para conducir y utilizar máquinas es nula o insignificante.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4.8. Reacciones adversas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Después de la inmunización con Chiromas se ha notificado una incidencia de reacciones leves más elevada en comparación con las vacunas antigripales sin adyuvante. </w:t>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Reacciones adversas durante los ensayos clínicos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seguridad de Chiromas en pacientes de edad avanzada se evaluó en 36 ensayos clínicos con sujetos de 65 años o mayores, que comprendían 19 ensayos controlados y aleatorizados y 17 ensayos estacionales no controlados. La base de datos incluye 12.730 sujetos de los cuales 7532 recibieron Chiromas y 5.198 recibieron una vacuna antigripal trivalente convencional (TIV).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En el análisis combinado, un porcentaje mayor de sujetos que había recibido Chiromas reportaron tanto reacciones locales como sistémicas tras la inmunización en comparación con aquellos que recibieron la vacuna convencional. Entre éstas, se describieron dolor en el lugar de inyección (26,1 frente a 13,7 %), sensibilidad local (22,2 frente al 12,2 %), eritema (3,2 frente al 1,7 %), induración (2,5 frente al 1,2 %) e hinchazón (1,6 frente al 0,6 %) además de mialgia (11,0 frente al 7,9 %), resfriado (5,0 frente al 4,0 %), fatiga (11,3 frente al 10,5 %) y malestar (6,3 frente al 5,8 %).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Las siguientes reacciones adversas se han observado durante los ensayos clínicos según la siguiente convención de frecuencias: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 xml:space="preserve">Muy frecuentes (≥1/10); frecuentes (≥1/100, &lt;1/10); poco frecuentes (≥1/1.000, &lt;1/100); raras (≥1/10.000, &lt;1/1.000); muy raras (&lt;1/10.000), incluyendo las que ocurrieron de forma aislada. </w:t>
      </w:r>
    </w:p>
    <w:p w:rsidR="000E535F" w:rsidRPr="00C03CD5" w:rsidRDefault="000E535F" w:rsidP="000E535F">
      <w:pPr>
        <w:pStyle w:val="WW-Default"/>
        <w:jc w:val="both"/>
        <w:rPr>
          <w:rFonts w:asciiTheme="minorHAnsi" w:hAnsiTheme="minorHAnsi" w:cstheme="minorHAnsi"/>
          <w:i/>
          <w:iCs/>
          <w:sz w:val="22"/>
          <w:szCs w:val="22"/>
        </w:rPr>
      </w:pPr>
      <w:r w:rsidRPr="00C03CD5">
        <w:rPr>
          <w:rFonts w:asciiTheme="minorHAnsi" w:hAnsiTheme="minorHAnsi" w:cstheme="minorHAnsi"/>
          <w:sz w:val="22"/>
          <w:szCs w:val="22"/>
          <w:u w:val="single"/>
        </w:rPr>
        <w:t xml:space="preserve">Trastornos del sistema nervioso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i/>
          <w:iCs/>
          <w:sz w:val="22"/>
          <w:szCs w:val="22"/>
        </w:rPr>
        <w:t>Muy frecuentes (≥≥1/10)</w:t>
      </w:r>
      <w:r w:rsidRPr="00C03CD5">
        <w:rPr>
          <w:rFonts w:asciiTheme="minorHAnsi" w:hAnsiTheme="minorHAnsi" w:cstheme="minorHAnsi"/>
          <w:sz w:val="22"/>
          <w:szCs w:val="22"/>
        </w:rPr>
        <w:t xml:space="preserve">: Cefalea </w:t>
      </w:r>
    </w:p>
    <w:p w:rsidR="000E535F" w:rsidRPr="00C03CD5" w:rsidRDefault="000E535F" w:rsidP="000E535F">
      <w:pPr>
        <w:pStyle w:val="WW-Default"/>
        <w:jc w:val="both"/>
        <w:rPr>
          <w:rFonts w:asciiTheme="minorHAnsi" w:hAnsiTheme="minorHAnsi" w:cstheme="minorHAnsi"/>
          <w:i/>
          <w:iCs/>
          <w:sz w:val="22"/>
          <w:szCs w:val="22"/>
        </w:rPr>
      </w:pPr>
      <w:r w:rsidRPr="00C03CD5">
        <w:rPr>
          <w:rFonts w:asciiTheme="minorHAnsi" w:hAnsiTheme="minorHAnsi" w:cstheme="minorHAnsi"/>
          <w:sz w:val="22"/>
          <w:szCs w:val="22"/>
          <w:u w:val="single"/>
        </w:rPr>
        <w:lastRenderedPageBreak/>
        <w:t xml:space="preserve">Trastornos gastrointestinales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i/>
          <w:iCs/>
          <w:sz w:val="22"/>
          <w:szCs w:val="22"/>
        </w:rPr>
        <w:t>Frecuentes (≥1/100, &lt;1/10)</w:t>
      </w:r>
      <w:r w:rsidRPr="00C03CD5">
        <w:rPr>
          <w:rFonts w:asciiTheme="minorHAnsi" w:hAnsiTheme="minorHAnsi" w:cstheme="minorHAnsi"/>
          <w:sz w:val="22"/>
          <w:szCs w:val="22"/>
        </w:rPr>
        <w:t xml:space="preserve">: Náuseas, diarrea, vómitos. </w:t>
      </w:r>
    </w:p>
    <w:p w:rsidR="000E535F" w:rsidRPr="00C03CD5" w:rsidRDefault="000E535F" w:rsidP="000E535F">
      <w:pPr>
        <w:pStyle w:val="WW-Default"/>
        <w:jc w:val="both"/>
        <w:rPr>
          <w:rFonts w:asciiTheme="minorHAnsi" w:hAnsiTheme="minorHAnsi" w:cstheme="minorHAnsi"/>
          <w:i/>
          <w:iCs/>
          <w:sz w:val="22"/>
          <w:szCs w:val="22"/>
        </w:rPr>
      </w:pPr>
      <w:r w:rsidRPr="00C03CD5">
        <w:rPr>
          <w:rFonts w:asciiTheme="minorHAnsi" w:hAnsiTheme="minorHAnsi" w:cstheme="minorHAnsi"/>
          <w:sz w:val="22"/>
          <w:szCs w:val="22"/>
          <w:u w:val="single"/>
        </w:rPr>
        <w:t xml:space="preserve">Trastornos de la piel y del tejido subcutáneo </w:t>
      </w:r>
    </w:p>
    <w:p w:rsidR="000E535F" w:rsidRPr="00C03CD5" w:rsidRDefault="000E535F" w:rsidP="000E535F">
      <w:pPr>
        <w:pStyle w:val="WW-Default"/>
        <w:jc w:val="both"/>
        <w:rPr>
          <w:rFonts w:asciiTheme="minorHAnsi" w:hAnsiTheme="minorHAnsi" w:cstheme="minorHAnsi"/>
          <w:i/>
          <w:iCs/>
          <w:sz w:val="22"/>
          <w:szCs w:val="22"/>
        </w:rPr>
      </w:pPr>
      <w:r w:rsidRPr="00C03CD5">
        <w:rPr>
          <w:rFonts w:asciiTheme="minorHAnsi" w:hAnsiTheme="minorHAnsi" w:cstheme="minorHAnsi"/>
          <w:i/>
          <w:iCs/>
          <w:sz w:val="22"/>
          <w:szCs w:val="22"/>
        </w:rPr>
        <w:t>Frecuentes (≥1/100, &lt;1/10)</w:t>
      </w:r>
      <w:r w:rsidRPr="00C03CD5">
        <w:rPr>
          <w:rFonts w:asciiTheme="minorHAnsi" w:hAnsiTheme="minorHAnsi" w:cstheme="minorHAnsi"/>
          <w:sz w:val="22"/>
          <w:szCs w:val="22"/>
        </w:rPr>
        <w:t xml:space="preserve">: Sudoración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i/>
          <w:iCs/>
          <w:sz w:val="22"/>
          <w:szCs w:val="22"/>
        </w:rPr>
        <w:t xml:space="preserve">Poco frecuentes </w:t>
      </w:r>
      <w:r w:rsidRPr="00C03CD5">
        <w:rPr>
          <w:rFonts w:asciiTheme="minorHAnsi" w:hAnsiTheme="minorHAnsi" w:cstheme="minorHAnsi"/>
          <w:sz w:val="22"/>
          <w:szCs w:val="22"/>
        </w:rPr>
        <w:t xml:space="preserve">(≥1/1.000, &lt;1/100): erupción </w:t>
      </w:r>
    </w:p>
    <w:p w:rsidR="000E535F" w:rsidRPr="00C03CD5" w:rsidRDefault="000E535F" w:rsidP="000E535F">
      <w:pPr>
        <w:pStyle w:val="WW-Default"/>
        <w:jc w:val="both"/>
        <w:rPr>
          <w:rFonts w:asciiTheme="minorHAnsi" w:hAnsiTheme="minorHAnsi" w:cstheme="minorHAnsi"/>
          <w:i/>
          <w:iCs/>
          <w:sz w:val="22"/>
          <w:szCs w:val="22"/>
        </w:rPr>
      </w:pPr>
      <w:r w:rsidRPr="00C03CD5">
        <w:rPr>
          <w:rFonts w:asciiTheme="minorHAnsi" w:hAnsiTheme="minorHAnsi" w:cstheme="minorHAnsi"/>
          <w:sz w:val="22"/>
          <w:szCs w:val="22"/>
          <w:u w:val="single"/>
        </w:rPr>
        <w:t xml:space="preserve">Trastornos musculoesqueléticos y del tejido conjuntivo </w:t>
      </w:r>
    </w:p>
    <w:p w:rsidR="000E535F" w:rsidRPr="00C03CD5" w:rsidRDefault="000E535F" w:rsidP="000E535F">
      <w:pPr>
        <w:pStyle w:val="WW-Default"/>
        <w:jc w:val="both"/>
        <w:rPr>
          <w:rFonts w:asciiTheme="minorHAnsi" w:hAnsiTheme="minorHAnsi" w:cstheme="minorHAnsi"/>
          <w:i/>
          <w:iCs/>
          <w:sz w:val="22"/>
          <w:szCs w:val="22"/>
        </w:rPr>
      </w:pPr>
      <w:r w:rsidRPr="00C03CD5">
        <w:rPr>
          <w:rFonts w:asciiTheme="minorHAnsi" w:hAnsiTheme="minorHAnsi" w:cstheme="minorHAnsi"/>
          <w:i/>
          <w:iCs/>
          <w:sz w:val="22"/>
          <w:szCs w:val="22"/>
        </w:rPr>
        <w:t>Muy frecuentes (≥1/10)</w:t>
      </w:r>
      <w:r w:rsidRPr="00C03CD5">
        <w:rPr>
          <w:rFonts w:asciiTheme="minorHAnsi" w:hAnsiTheme="minorHAnsi" w:cstheme="minorHAnsi"/>
          <w:sz w:val="22"/>
          <w:szCs w:val="22"/>
        </w:rPr>
        <w:t xml:space="preserve">: Mialgia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i/>
          <w:iCs/>
          <w:sz w:val="22"/>
          <w:szCs w:val="22"/>
        </w:rPr>
        <w:t xml:space="preserve">Frecuentes </w:t>
      </w:r>
      <w:r w:rsidRPr="00C03CD5">
        <w:rPr>
          <w:rFonts w:asciiTheme="minorHAnsi" w:hAnsiTheme="minorHAnsi" w:cstheme="minorHAnsi"/>
          <w:sz w:val="22"/>
          <w:szCs w:val="22"/>
        </w:rPr>
        <w:t>(</w:t>
      </w:r>
      <w:r w:rsidRPr="00C03CD5">
        <w:rPr>
          <w:rFonts w:asciiTheme="minorHAnsi" w:hAnsiTheme="minorHAnsi" w:cstheme="minorHAnsi"/>
          <w:i/>
          <w:iCs/>
          <w:sz w:val="22"/>
          <w:szCs w:val="22"/>
        </w:rPr>
        <w:t>≥1/100, &lt;1/10)</w:t>
      </w:r>
      <w:r w:rsidRPr="00C03CD5">
        <w:rPr>
          <w:rFonts w:asciiTheme="minorHAnsi" w:hAnsiTheme="minorHAnsi" w:cstheme="minorHAnsi"/>
          <w:sz w:val="22"/>
          <w:szCs w:val="22"/>
        </w:rPr>
        <w:t>: Artralgia</w:t>
      </w:r>
    </w:p>
    <w:p w:rsidR="000E535F" w:rsidRPr="00C03CD5" w:rsidRDefault="000E535F" w:rsidP="000E535F">
      <w:pPr>
        <w:pStyle w:val="WW-Default"/>
        <w:jc w:val="both"/>
        <w:rPr>
          <w:rFonts w:asciiTheme="minorHAnsi" w:hAnsiTheme="minorHAnsi" w:cstheme="minorHAnsi"/>
          <w:i/>
          <w:iCs/>
          <w:sz w:val="22"/>
          <w:szCs w:val="22"/>
        </w:rPr>
      </w:pPr>
      <w:r w:rsidRPr="00C03CD5">
        <w:rPr>
          <w:rFonts w:asciiTheme="minorHAnsi" w:hAnsiTheme="minorHAnsi" w:cstheme="minorHAnsi"/>
          <w:sz w:val="22"/>
          <w:szCs w:val="22"/>
          <w:u w:val="single"/>
        </w:rPr>
        <w:t xml:space="preserve">Trastornos generales y alteraciones en el lugar de administración </w:t>
      </w:r>
    </w:p>
    <w:p w:rsidR="000E535F" w:rsidRPr="00C03CD5" w:rsidRDefault="000E535F" w:rsidP="000E535F">
      <w:pPr>
        <w:pStyle w:val="WW-Default"/>
        <w:jc w:val="both"/>
        <w:rPr>
          <w:rFonts w:asciiTheme="minorHAnsi" w:hAnsiTheme="minorHAnsi" w:cstheme="minorHAnsi"/>
          <w:i/>
          <w:iCs/>
          <w:sz w:val="22"/>
          <w:szCs w:val="22"/>
        </w:rPr>
      </w:pPr>
      <w:r w:rsidRPr="00C03CD5">
        <w:rPr>
          <w:rFonts w:asciiTheme="minorHAnsi" w:hAnsiTheme="minorHAnsi" w:cstheme="minorHAnsi"/>
          <w:i/>
          <w:iCs/>
          <w:sz w:val="22"/>
          <w:szCs w:val="22"/>
        </w:rPr>
        <w:t>Muy frecuentes (≥1/10)</w:t>
      </w:r>
      <w:r w:rsidRPr="00C03CD5">
        <w:rPr>
          <w:rFonts w:asciiTheme="minorHAnsi" w:hAnsiTheme="minorHAnsi" w:cstheme="minorHAnsi"/>
          <w:sz w:val="22"/>
          <w:szCs w:val="22"/>
        </w:rPr>
        <w:t xml:space="preserve">: Sensibilidad, dolor en el lugar de inyección, fatiga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i/>
          <w:iCs/>
          <w:sz w:val="22"/>
          <w:szCs w:val="22"/>
        </w:rPr>
        <w:t>Frecuentes (≥1/100, &lt;1/10)</w:t>
      </w:r>
      <w:r w:rsidRPr="00C03CD5">
        <w:rPr>
          <w:rFonts w:asciiTheme="minorHAnsi" w:hAnsiTheme="minorHAnsi" w:cstheme="minorHAnsi"/>
          <w:sz w:val="22"/>
          <w:szCs w:val="22"/>
        </w:rPr>
        <w:t xml:space="preserve">: Fiebre, malestar, escalofríos.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Reacciones locales: enrojecimiento, inflamación, equimosis, induración.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mayor parte de las reacciones son leves o moderadas, y se resuelven de forma espontánea en el plazo de 1 o 2 días. </w:t>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En el seguimiento post-comercialización, se han notificado las siguientes reacciones adversas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 xml:space="preserve">Las reacciones adversas notificadas durante el seguimiento post-comercialización, además de las reacciones que también han sido observadas durante los ensayos clínicos, son las siguientes: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Trastornos de la sangre y del sistema linfático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Trombocitopenia (algunos casos muy raros fueron graves con recuentos plaquetarios inferiores a 5.000 por mm</w:t>
      </w:r>
      <w:r w:rsidRPr="00C03CD5">
        <w:rPr>
          <w:rFonts w:asciiTheme="minorHAnsi" w:hAnsiTheme="minorHAnsi" w:cstheme="minorHAnsi"/>
          <w:sz w:val="14"/>
          <w:szCs w:val="14"/>
        </w:rPr>
        <w:t>3</w:t>
      </w:r>
      <w:r w:rsidRPr="00C03CD5">
        <w:rPr>
          <w:rFonts w:asciiTheme="minorHAnsi" w:hAnsiTheme="minorHAnsi" w:cstheme="minorHAnsi"/>
          <w:sz w:val="22"/>
          <w:szCs w:val="22"/>
        </w:rPr>
        <w:t xml:space="preserve">), linfadenopatía.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Trastornos generales y alteraciones en el lugar de administración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Astenia, síntomas pseudogripales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 xml:space="preserve">La hinchazón extendida en la extremidad que ha recibido la inyección que se prolonga más de una semana, reacción similar a la celulitis en la zona de la inyección (algunos casos de hinchazón, dolor y enrojecimiento que se extiende a lo largo de más de 10 cm y dura más de una semana).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Trastornos del sistema inmunológico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 xml:space="preserve">Reacciones alérgicas, incluido el choque anafiláctico (en raras ocasiones), anafilaxis y angioedema.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Trastornos musculoesqueléticos y del tejido conjuntivo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 xml:space="preserve">Dolor en las extremidades, debilidad muscular.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Trastornos del sistema nervioso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 xml:space="preserve">Encefalomielitis, síndrome de Guillain-Barré, convulsiones, neuritis, neuralgia, parestesia, síncope, presíncope.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Trastornos de la piel y del tejido subcutáneo </w:t>
      </w:r>
    </w:p>
    <w:p w:rsidR="000E535F" w:rsidRPr="00C03CD5" w:rsidRDefault="000E535F" w:rsidP="000E535F">
      <w:pPr>
        <w:pStyle w:val="WW-Default"/>
        <w:jc w:val="both"/>
        <w:rPr>
          <w:rFonts w:asciiTheme="minorHAnsi" w:hAnsiTheme="minorHAnsi" w:cstheme="minorHAnsi"/>
          <w:sz w:val="22"/>
          <w:szCs w:val="22"/>
          <w:u w:val="single"/>
        </w:rPr>
      </w:pPr>
      <w:r w:rsidRPr="00C03CD5">
        <w:rPr>
          <w:rFonts w:asciiTheme="minorHAnsi" w:hAnsiTheme="minorHAnsi" w:cstheme="minorHAnsi"/>
          <w:sz w:val="22"/>
          <w:szCs w:val="22"/>
        </w:rPr>
        <w:t xml:space="preserve">Reacciones cutáneas generalizadas como eritema multiforme, urticaria o erupción cutánea inespecífica. </w:t>
      </w:r>
    </w:p>
    <w:p w:rsidR="000E535F" w:rsidRPr="00C03CD5" w:rsidRDefault="000E535F" w:rsidP="000E535F">
      <w:pPr>
        <w:pStyle w:val="WW-Default"/>
        <w:jc w:val="both"/>
        <w:rPr>
          <w:rFonts w:asciiTheme="minorHAnsi" w:hAnsiTheme="minorHAnsi" w:cstheme="minorHAnsi"/>
          <w:sz w:val="22"/>
          <w:szCs w:val="22"/>
          <w:u w:val="single"/>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Trastornos vasculares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Vasculitis con afectación renal transitoria.</w:t>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u w:val="single"/>
        </w:rPr>
        <w:t xml:space="preserve">Notificación de sospechas de reacciones adversas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Es importante notificar las sospechas de reacciones adversas al medicamento tras su autorización. Ello permite una supervisión continuada de la relación beneficio/riesgo del medicamento. Se invita a los profesionales sanitarios a notificar las sospechas de reacciones adversas a través del Sistema Español de Farmacovigilancia de Medicamentos de Uso Humano en www.notificaRAM.es.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4.9. Sobredosis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Es improbable que la sobredosificación tenga algún efecto desfavorable.</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b/>
          <w:bCs/>
          <w:sz w:val="22"/>
          <w:szCs w:val="22"/>
        </w:rPr>
        <w:t xml:space="preserve">5. PROPIEDADES FARMACOLÓGICAS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5.1. Propiedades farmacodinámicas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Grupo farmacoterapéutico: Vacunas contra la gripe; código ATC: J07BB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respuesta inmunitaria de Chiromas se ha evaluado en 16 ensayos controlados aleatorizados en los que participaron 16.974 sujetos vacunados con Chiromas (n = 5.869) o con una vacuna sin adyuvante (n = 5.236).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seroprotección se obtiene generalmente en 2-3 semanas. La duración de la inmunidad postvacunal a cepas homólogas o a cepas estrechamente relacionadas con las de la vacuna varía, pero es normalmente de 6-12 meses.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lastRenderedPageBreak/>
        <w:t xml:space="preserve">Aunque no se hayan realizado ensayos clínicos comparativos de eficacia de campo, la respuesta de anticuerpos a Chiromas se incrementa, en comparación con la respuesta a las vacunas sin adyuvante, y es más acentuada en los antígenos de los virus gripales B y A/H3N2.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Este incremento de la respuesta se observa especialmente en personas ancianas con títulos de anticuerpos preinmunización bajos y/o con enfermedades subyacentes (diabetes, enfermedades cardiovasculares y respiratorias) que presentan mayor riesgo de complicaciones como consecuencia de la infección gripal. Se ha observado un perfil de inmunogenicidad similar tras la segunda y tercera inmunización con Chiromas.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Se ha observado también un aumento significativo de anticuerpos después de la inmunización con Chiromas frente a cepas heterovariantes, antigénicamente diferentes de las de la vacuna.</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La eficacia clínica de Chiromas se ha evaluado en dos estudios observacionales: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Estudios observacionales</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El primer estudio (estudio C70P1) fue un estudio observacional, prospectivo, de cohortes, realizado en 5 distritos sanitarios del norte de Italia durante las campañas de gripe de 2006-7, 2007-8 y 2008-9. El objetivo del estudio fue evaluar el riesgo relativo de hospitalizaciones por gripe o neumonía durante la estación de la gripe entre sujetos de 65 años de edad o más que recibieron Chiromas o una vacuna sin adyuvante. La elección de la vacuna antigripal para cada sujeto del estudio, ya fuera Chiromas o bien una vacuna sin adyuvante, se dejó a criterio de cada médico, para que tomase una decisión basada en las recomendaciones locales de vacunación contra la gripe. En este estudio de varios años de duración se incluyó a 107.661 personas ancianas, de 65 años de edad o más, 43.667 de las cuales participaron durante más de 1 año. En total, se administraron 88.449 dosis de Chiromas y 82.539 dosis de vacuna sin adyuvante. Se utilizaron márgenes predefinidos durante la temporada de gripe para determinar el criterio principal de valoración de hospitalización por gripe o neumonía, pero no se realizaron análisis clínicos para confirmar la gripe. Debido a las recomendaciones locales de inmunización, la salud inicial de los sujetos que recibieron Chiromas era, con frecuencia, peor que la de los sujetos que recibieron una vacuna sin adyuvante. Tras el ajuste para las variables de confusión (salud inicial y otros factores), el riesgo de hospitalización por gripe o neumonía fue un 25 % menor en el caso de Chiromas que en el de la vacuna sin adyuvante (riesgo relativo = 0,75, intervalo de confianza del 95 %: 0,57, 0,98).</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El segundo estudio (estudio V70-49OBTP) fue un estudio retrospectivo de casos y controles en el que se evaluó la efectividad de la vacunación con Chiromas, con un comparador sin adyuvante y con la no vacunación. Los casos y controles se identificaron a partir de los análisis de detección de la gripe realizados a la población, proporcionados por las tres principales autoridades sanitarias de la Columbia Británica y realizados en un laboratorio provincial central. En total, se incluyeron 84 casos y 198 controles de 65 años de edad o mayores (165 vacunados con Chiromas, 62 con una vacuna antigripal sin adyuvante y 55 sujetos sin vacunar). La mayoría de los participantes indicaron que sufrían al menos una enfermedad crónica (89 %). Las categorías de enfermedades crónicas que se comunicaron con mayor frecuencia fueron enfermedades cardiacas (72 %), seguidas de neurológicas (39 %) y respiratorias (30 %). Los casos se definieron como gripe confirmada por RT-PCR tras la aparición de la enfermedad de tipo gripal (ETG). Los controles eran personas con características similares, pero con resultado negativo en el análisis de detección de la gripe. Tras el ajuste para las variables de confusión (edad, sexo, residencia en un centro de larga estancia, enfermedades crónicas, región y semana del análisis), la efectividad absoluta de la vacuna Chiromas fue del 58 % (IC: 5-82, p &lt; 0,04), mientras que la vacuna sin adyuvante careció de efectividad. La efectividad relativa de Chiromas fue del 63 % (IC: 4-86. p = 0,04) en comparación con la vacuna antigripal sin adyuvante.</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Estudios intervencionistas controlados aleatorizados</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El estudio V70-27-01 es un estudio extenso en fase III, multicéntrico, aleatorizado, controlado, con enmascaramiento para el observador, para evaluar la inmunogenicidad, la seguridad y la uniformidad de tres lotes consecutivos de Chiromas en comparación con una vacuna sin adyuvante, realizado en 2010-2011. Los sujetos fueron aleatorizados en una proporción de 1:1:1:3 para recibir una dosis única de 0,5 ml de 1 de los 3 lotes consecutivos de Chiromas o un único lote de una vacuna antigripal sin adyuvante. Se realizó un seguimiento a todos los sujetos durante aproximadamente un año después de la vacunación.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Se aleatorizó y vacunó a un total de 7.082 sujetos, 3.541 sujetos en el grupo con Chiromas y otros tantos en el grupo con la vacuna sin adyuvante. Un total de 2.573 sujetos (1.300 en el grupo de Chiromas y 1.273 en el grupo de la vacuna sin adyuvante) se consideraron sujetos de «alto riesgo» (enfermedades crónicas subyacentes, tales como insuficiencia cardiaca congestiva, enfermedad pulmonar obstructiva crónica, asma, enfermedad hepática, fallo renal y/o trastornos neurológicos/neuromusculares o metabólicos, como la diabetes mellitus).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lastRenderedPageBreak/>
        <w:t>El objetivo principal de superioridad de Chiromas frente a la vacuna sin adyuvante no se alcanzó con todas las cepas homólogas; el objetivo coprincipal de no inferioridad de Chiromas frente a la vacuna sin adyuvante se alcanzó con todas las cepas homólogas; no obstante, se observaron títulos de IHA considerablemente más elevados contra las tres cepas homólogas de la gripe 22 días después de la vacunación en los sujetos que recibieron Chiromas frente a los que recibieron la vacuna antigripal sin adyuvante (tabla 1). Los resultados fueron similares en los sujetos de alto riesgo que presentaban las comorbilidades predefinidas. Los datos de inmunogenicidad corroboraron la similitud de las respuestas de anticuerpos con todos los lotes de Chiromas; se cumplieron los criterios del CHMP para Chiromas.</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Además, en un subconjunto de sujetos (n = 1649 sujetos), se comparó Chiromas con la vacuna antigripal sin adyuvante para cepas heterólogas, es decir, variantes de gripe del mismo tipo/subtipo que no estaban incluidas en la composición de la vacuna (objetivo secundario). La superioridad de Chiromas en comparación con la vacuna antigripal sin adyuvante no se alcanzó para las 3 cepas heterólogas el día 22; sin embargo, sí se demostró la ausencia de inferioridad para las 3 cepas heterólogas el día 22.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Los resultados fueron similares en los sujetos de alto riesgo (609 sujetos).</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Tabla 1: MGT postvacunación y ratios de grupos de vacunación - prueba de IHA</w:t>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rPr>
      </w:pPr>
      <w:r w:rsidRPr="00C03CD5">
        <w:rPr>
          <w:rFonts w:asciiTheme="minorHAnsi" w:hAnsiTheme="minorHAnsi" w:cstheme="minorHAnsi"/>
          <w:noProof/>
          <w:sz w:val="22"/>
          <w:szCs w:val="22"/>
          <w:lang w:eastAsia="es-ES"/>
        </w:rPr>
        <w:drawing>
          <wp:inline distT="0" distB="0" distL="0" distR="0" wp14:anchorId="03983214" wp14:editId="00C5D720">
            <wp:extent cx="5396865" cy="10490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865" cy="1049020"/>
                    </a:xfrm>
                    <a:prstGeom prst="rect">
                      <a:avLst/>
                    </a:prstGeom>
                    <a:solidFill>
                      <a:srgbClr val="FFFFFF"/>
                    </a:solidFill>
                    <a:ln>
                      <a:noFill/>
                    </a:ln>
                  </pic:spPr>
                </pic:pic>
              </a:graphicData>
            </a:graphic>
          </wp:inline>
        </w:drawing>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noProof/>
          <w:sz w:val="22"/>
          <w:szCs w:val="22"/>
          <w:lang w:eastAsia="es-ES"/>
        </w:rPr>
        <w:drawing>
          <wp:inline distT="0" distB="0" distL="0" distR="0" wp14:anchorId="40DAA065" wp14:editId="1E481E42">
            <wp:extent cx="5396865" cy="23787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865" cy="2378710"/>
                    </a:xfrm>
                    <a:prstGeom prst="rect">
                      <a:avLst/>
                    </a:prstGeom>
                    <a:solidFill>
                      <a:srgbClr val="FFFFFF"/>
                    </a:solidFill>
                    <a:ln>
                      <a:noFill/>
                    </a:ln>
                  </pic:spPr>
                </pic:pic>
              </a:graphicData>
            </a:graphic>
          </wp:inline>
        </w:drawing>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18"/>
          <w:szCs w:val="18"/>
        </w:rPr>
      </w:pPr>
      <w:r w:rsidRPr="00C03CD5">
        <w:rPr>
          <w:rFonts w:asciiTheme="minorHAnsi" w:hAnsiTheme="minorHAnsi" w:cstheme="minorHAnsi"/>
          <w:sz w:val="22"/>
          <w:szCs w:val="22"/>
        </w:rPr>
        <w:t xml:space="preserve">IHA: prueba de inhibición de la hemoaglutinación; MGT: media geométrica de los títulos de IHA; IC: intervalo de confianza </w:t>
      </w:r>
    </w:p>
    <w:p w:rsidR="000E535F" w:rsidRPr="00C03CD5" w:rsidRDefault="000E535F" w:rsidP="000E535F">
      <w:pPr>
        <w:pStyle w:val="WW-Default"/>
        <w:jc w:val="both"/>
        <w:rPr>
          <w:rFonts w:asciiTheme="minorHAnsi" w:hAnsiTheme="minorHAnsi" w:cstheme="minorHAnsi"/>
          <w:sz w:val="14"/>
          <w:szCs w:val="14"/>
        </w:rPr>
      </w:pPr>
      <w:r w:rsidRPr="00C03CD5">
        <w:rPr>
          <w:rFonts w:asciiTheme="minorHAnsi" w:hAnsiTheme="minorHAnsi" w:cstheme="minorHAnsi"/>
          <w:sz w:val="18"/>
          <w:szCs w:val="18"/>
        </w:rPr>
        <w:t>(a)</w:t>
      </w:r>
      <w:r w:rsidRPr="00C03CD5">
        <w:rPr>
          <w:rFonts w:asciiTheme="minorHAnsi" w:hAnsiTheme="minorHAnsi" w:cstheme="minorHAnsi"/>
          <w:sz w:val="14"/>
          <w:szCs w:val="14"/>
        </w:rPr>
        <w:t xml:space="preserve"> </w:t>
      </w:r>
      <w:r w:rsidRPr="00C03CD5">
        <w:rPr>
          <w:rFonts w:asciiTheme="minorHAnsi" w:hAnsiTheme="minorHAnsi" w:cstheme="minorHAnsi"/>
          <w:sz w:val="22"/>
          <w:szCs w:val="22"/>
        </w:rPr>
        <w:t xml:space="preserve">Las MGT postvacunación (día 22) y las ratios entre las MGT de los grupos (Chiromas: vacuna antigripal sin adyuvante) están ajustados a los títulos iniciales, el país y la cohorte de edad; población por protocolo.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14"/>
          <w:szCs w:val="14"/>
        </w:rPr>
        <w:t xml:space="preserve">§ </w:t>
      </w:r>
      <w:r w:rsidRPr="00C03CD5">
        <w:rPr>
          <w:rFonts w:asciiTheme="minorHAnsi" w:hAnsiTheme="minorHAnsi" w:cstheme="minorHAnsi"/>
          <w:sz w:val="22"/>
          <w:szCs w:val="22"/>
        </w:rPr>
        <w:t>Puesto que el límite inferior del IC del 95 % de las ratios de los grupos de vacunación es superior a 1, se considera que los títulos de IHA tras la vacunación con Chiromas son superiores a los obtenidos con la vacuna antigripal sin adyuvantes.</w:t>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No se ha realizado ningún análisis específico de seguridad en la población de «alto riesgo»; en lo que respecta a la población total, el porcentaje de sujetos que reportaron reacción local y reacciones sistémicas fue mayor en el grupo con Chiromas que en el grupo con la vacuna sin adyuvante (32 % frente al 17 % y 32 % frente al 26 %, respectivamente).El perfil de seguridad global mostró incidencias similares de AA y AAG notificados espontáneamente para Chiromas y la vacuna antigripal sin adyuvante.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El segundo estudio (M63P1) es un estudio en fase III, aleatorizado, multicéntrico, controlado con tratamiento activo, con enmascaramiento para el observador, para evaluar la inmunogenicidad y la seguridad de Chiromas en sujetos de </w:t>
      </w:r>
      <w:r w:rsidRPr="00C03CD5">
        <w:rPr>
          <w:rFonts w:asciiTheme="minorHAnsi" w:hAnsiTheme="minorHAnsi" w:cstheme="minorHAnsi"/>
          <w:sz w:val="22"/>
          <w:szCs w:val="22"/>
        </w:rPr>
        <w:lastRenderedPageBreak/>
        <w:t xml:space="preserve">65 años de edad o mayores con enfermedades subyacentes. Se incluyó a 350 personas ancianas debilitadas que fueron aleatorizadas en una proporción de 1:1 para recibir Chiromas (n = 175) o una vacuna antigripal sin adyuvante (n = 175); todas ellas padecían enfermedades crónicas subyacentes, tales como insuficiencia cardiaca congestiva, enfermedad pulmonar obstructiva crónica (EPOC) o asma, insuficiencia hepática o renal, enfermedad arterioesclerótica o diabetes mellitus y artritis reumatoide.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MGT contra la cepa de la gripe A/H3N2 21 días después de la administración de Chiromas no cumplió el criterio de superioridad cuando se comparó con una vacuna de virus de la gripe fraccionados inactivados sin adyuvante (objetivo principal). Se alcanzó la seroconversión en el 85 % (A/H3N2), 87 % (A/H1N1) y 88 % (B) de los sujetos. Se cumplieron los criterios de eficacia del CHMP para Chiromas.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Se observó un pequeño aumento en la reactogenicidad local principalmente leve y un porcentaje de reacciones sistémicas ligeramente mayor con Chiromas que con la vacuna antigripal sin adyuvante. El perfil de seguridad global mostró incidencias similares de AA y AAG espontáneos para Chiromas y para la vacuna antigripal sin adyuvante.</w:t>
      </w:r>
    </w:p>
    <w:p w:rsidR="000E535F" w:rsidRPr="00C03CD5" w:rsidRDefault="000E535F" w:rsidP="000E535F">
      <w:pPr>
        <w:pStyle w:val="WW-Default"/>
        <w:jc w:val="both"/>
        <w:rPr>
          <w:rFonts w:asciiTheme="minorHAnsi" w:hAnsiTheme="minorHAnsi" w:cstheme="minorHAnsi"/>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5.2. Propiedades farmacocinéticas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No procede.</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5.3. Datos preclínicos sobre seguridad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Los datos de los estudios convencionales de toxicidad con dosis repetidas, tolerancia local y sensibilización, no muestran ningún riesgo específico para el hombre.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b/>
          <w:bCs/>
          <w:sz w:val="22"/>
          <w:szCs w:val="22"/>
        </w:rPr>
        <w:t xml:space="preserve">6. DATOS FARMACÉUTICOS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6.1. Lista de excipientes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Adyuvante: véase la sección 2.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Otros excipientes: cloruro sódico, cloruro potásico, fosfato potásico dihidrogenado, fosfato disódico dihidratado, cloruro magnésico hexahidrato, cloruro cálcico dihidratado y agua para inyección.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6.2. Incompatibilidades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En ausencia de estudios de compatibilidad esta vacuna no debe mezclarse con otros medicamentos.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6.3. Periodo de validez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1 año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6.4. Precauciones especiales de conservación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Conservar en nevera (entre 2ºC y 8ºC). No congelar. Conservar la jeringa en el embalaje exterior para protegerla de la luz.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6.5. Naturaleza y contenido del envase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Jeringa precargada (vidrio de Tipo I) con 0,5 ml de suspensión. Se presenta con o sin aguja.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Envase de 1 jeringa, con o sin aguja. </w:t>
      </w:r>
    </w:p>
    <w:p w:rsidR="000E535F" w:rsidRPr="00C03CD5" w:rsidRDefault="000E535F" w:rsidP="000E535F">
      <w:pPr>
        <w:pStyle w:val="WW-Default"/>
        <w:jc w:val="both"/>
        <w:rPr>
          <w:rFonts w:asciiTheme="minorHAnsi" w:hAnsiTheme="minorHAnsi" w:cstheme="minorHAnsi"/>
          <w:sz w:val="23"/>
          <w:szCs w:val="23"/>
        </w:rPr>
      </w:pPr>
      <w:r w:rsidRPr="00C03CD5">
        <w:rPr>
          <w:rFonts w:asciiTheme="minorHAnsi" w:hAnsiTheme="minorHAnsi" w:cstheme="minorHAnsi"/>
          <w:sz w:val="22"/>
          <w:szCs w:val="22"/>
        </w:rPr>
        <w:t xml:space="preserve">Envase de 10 jeringas, con o sin aguja.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3"/>
          <w:szCs w:val="23"/>
        </w:rPr>
        <w:t xml:space="preserve">La jeringa sin aguja puede proporcionarse con un sistema Luer lock.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Puede que solamente estén comercializados algunos tamaños de envases.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6.6. Precauciones especiales de eliminación y otras manipulaciones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La vacuna debe alcanzar la temperatura ambiente antes de su utilización. Agitar suavemente antes del uso.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Después de agitar, el aspecto normal de Chiromas es el de una suspensión blanca lechosa.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Examine visualmente el contenido de cada jeringa precargada de Chiromas para ver si presenta partículas o decoloración antes de la administración. Si observa cualquiera de estas condiciones, no utilice el contenido.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Cuando se use una jeringa precargada suministrada sin aguja, retire el tapón de la jeringa y después coloque una aguja apropiada para la administración.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Para las jeringas con Luer lock, quite la tapa de la punta desenroscando en sentido contrario a las agujas del reloj. Una vez que ha quitado la tapa, acople una aguja en la jeringa enroscando en el sentido de las agujas del reloj hasta que encaje. Una vez que la aguja está colocada en su sitio, elimine el protector de la aguja y administre la vacuna.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No utilizar si la vacuna se ha congelado.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lastRenderedPageBreak/>
        <w:t>La eliminación del medicamento no utilizado y de todos los materiales que hayan estado en contacto con él, se realizará de acuerdo con la normativa local.</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7. TITULAR DE LA AUTORIZACIÓN DE COMERCIALIZACIÓN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Seqirus Srl, Via Fiorentina 1, 53100 Siena, Italia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8. NÚMERO(S) DE AUTORIZACIÓN DE COMERCIALIZACIÓN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63.566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 xml:space="preserve">9. FECHA DE LA PRIMERA AUTORIZACIÓN/ RENOVACIÓN DE LA AUTORIZACIÓN </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 xml:space="preserve">12 Enero 2001 </w:t>
      </w:r>
    </w:p>
    <w:p w:rsidR="000E535F" w:rsidRPr="00C03CD5" w:rsidRDefault="000E535F" w:rsidP="000E535F">
      <w:pPr>
        <w:pStyle w:val="WW-Default"/>
        <w:jc w:val="both"/>
        <w:rPr>
          <w:rFonts w:asciiTheme="minorHAnsi" w:hAnsiTheme="minorHAnsi" w:cstheme="minorHAnsi"/>
          <w:b/>
          <w:bCs/>
          <w:sz w:val="22"/>
          <w:szCs w:val="22"/>
        </w:rPr>
      </w:pPr>
      <w:r w:rsidRPr="00C03CD5">
        <w:rPr>
          <w:rFonts w:asciiTheme="minorHAnsi" w:hAnsiTheme="minorHAnsi" w:cstheme="minorHAnsi"/>
          <w:sz w:val="22"/>
          <w:szCs w:val="22"/>
        </w:rPr>
        <w:t xml:space="preserve">21 Mayo 2010 </w:t>
      </w:r>
    </w:p>
    <w:p w:rsidR="000E535F" w:rsidRPr="00C03CD5" w:rsidRDefault="000E535F" w:rsidP="000E535F">
      <w:pPr>
        <w:pStyle w:val="WW-Default"/>
        <w:jc w:val="both"/>
        <w:rPr>
          <w:rFonts w:asciiTheme="minorHAnsi" w:hAnsiTheme="minorHAnsi" w:cstheme="minorHAnsi"/>
          <w:b/>
          <w:bCs/>
          <w:sz w:val="22"/>
          <w:szCs w:val="22"/>
        </w:rPr>
      </w:pP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b/>
          <w:bCs/>
          <w:sz w:val="22"/>
          <w:szCs w:val="22"/>
        </w:rPr>
        <w:t>10. FECHA DE LA REVISIÓN DEL TEXTO</w:t>
      </w:r>
    </w:p>
    <w:p w:rsidR="000E535F" w:rsidRPr="00C03CD5" w:rsidRDefault="000E535F" w:rsidP="000E535F">
      <w:pPr>
        <w:pStyle w:val="WW-Default"/>
        <w:jc w:val="both"/>
        <w:rPr>
          <w:rFonts w:asciiTheme="minorHAnsi" w:hAnsiTheme="minorHAnsi" w:cstheme="minorHAnsi"/>
          <w:sz w:val="22"/>
          <w:szCs w:val="22"/>
        </w:rPr>
      </w:pPr>
      <w:r w:rsidRPr="00C03CD5">
        <w:rPr>
          <w:rFonts w:asciiTheme="minorHAnsi" w:hAnsiTheme="minorHAnsi" w:cstheme="minorHAnsi"/>
          <w:sz w:val="22"/>
          <w:szCs w:val="22"/>
        </w:rPr>
        <w:t>07/2018</w:t>
      </w:r>
    </w:p>
    <w:p w:rsidR="000E535F" w:rsidRDefault="000E535F" w:rsidP="000E535F">
      <w:pPr>
        <w:pStyle w:val="WW-Default"/>
        <w:jc w:val="center"/>
        <w:rPr>
          <w:sz w:val="22"/>
          <w:szCs w:val="22"/>
        </w:rPr>
      </w:pPr>
    </w:p>
    <w:p w:rsidR="000E535F" w:rsidRDefault="000E535F" w:rsidP="000E535F">
      <w:pPr>
        <w:pStyle w:val="WW-Default"/>
        <w:rPr>
          <w:sz w:val="22"/>
          <w:szCs w:val="22"/>
        </w:rPr>
      </w:pPr>
    </w:p>
    <w:p w:rsidR="000E535F" w:rsidRDefault="000E535F" w:rsidP="000E535F">
      <w:pPr>
        <w:pStyle w:val="WW-Default"/>
        <w:jc w:val="center"/>
        <w:rPr>
          <w:sz w:val="22"/>
          <w:szCs w:val="22"/>
        </w:rPr>
      </w:pPr>
      <w:r>
        <w:rPr>
          <w:noProof/>
          <w:sz w:val="22"/>
          <w:szCs w:val="22"/>
          <w:lang w:eastAsia="es-ES"/>
        </w:rPr>
        <w:drawing>
          <wp:inline distT="0" distB="0" distL="0" distR="0" wp14:anchorId="4FBD8791" wp14:editId="3506AB5B">
            <wp:extent cx="2760345" cy="21037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0345" cy="2103755"/>
                    </a:xfrm>
                    <a:prstGeom prst="rect">
                      <a:avLst/>
                    </a:prstGeom>
                    <a:solidFill>
                      <a:srgbClr val="FFFFFF"/>
                    </a:solidFill>
                    <a:ln>
                      <a:noFill/>
                    </a:ln>
                  </pic:spPr>
                </pic:pic>
              </a:graphicData>
            </a:graphic>
          </wp:inline>
        </w:drawing>
      </w:r>
      <w:r>
        <w:rPr>
          <w:sz w:val="22"/>
          <w:szCs w:val="22"/>
        </w:rPr>
        <w:t xml:space="preserve">    </w:t>
      </w:r>
      <w:r>
        <w:rPr>
          <w:noProof/>
          <w:sz w:val="22"/>
          <w:szCs w:val="22"/>
          <w:lang w:eastAsia="es-ES"/>
        </w:rPr>
        <w:drawing>
          <wp:inline distT="0" distB="0" distL="0" distR="0" wp14:anchorId="5BE88831" wp14:editId="02BD9A3E">
            <wp:extent cx="1581785" cy="21037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1785" cy="2103755"/>
                    </a:xfrm>
                    <a:prstGeom prst="rect">
                      <a:avLst/>
                    </a:prstGeom>
                    <a:solidFill>
                      <a:srgbClr val="FFFFFF"/>
                    </a:solidFill>
                    <a:ln>
                      <a:noFill/>
                    </a:ln>
                  </pic:spPr>
                </pic:pic>
              </a:graphicData>
            </a:graphic>
          </wp:inline>
        </w:drawing>
      </w: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AB1796" w:rsidRDefault="00AB1796" w:rsidP="000E535F">
      <w:pPr>
        <w:pStyle w:val="WW-Default"/>
        <w:rPr>
          <w:sz w:val="22"/>
          <w:szCs w:val="22"/>
        </w:rPr>
      </w:pPr>
    </w:p>
    <w:p w:rsidR="00AB1796" w:rsidRDefault="00AB1796"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0E535F" w:rsidRDefault="000E535F" w:rsidP="000E535F">
      <w:pPr>
        <w:pStyle w:val="WW-Default"/>
        <w:rPr>
          <w:sz w:val="22"/>
          <w:szCs w:val="22"/>
        </w:rPr>
      </w:pPr>
    </w:p>
    <w:p w:rsidR="00AB1796" w:rsidRDefault="00F4741F" w:rsidP="000E535F">
      <w:pPr>
        <w:autoSpaceDE w:val="0"/>
        <w:spacing w:before="240" w:after="0" w:line="240" w:lineRule="auto"/>
        <w:rPr>
          <w:rFonts w:ascii="Arial" w:hAnsi="Arial" w:cs="Arial"/>
          <w:b/>
          <w:bCs/>
          <w:sz w:val="24"/>
          <w:szCs w:val="24"/>
        </w:rPr>
      </w:pPr>
      <w:r>
        <w:rPr>
          <w:rFonts w:ascii="Arial" w:hAnsi="Arial" w:cs="Arial"/>
          <w:b/>
          <w:bCs/>
          <w:sz w:val="24"/>
          <w:szCs w:val="24"/>
        </w:rPr>
        <w:t>2.</w:t>
      </w:r>
    </w:p>
    <w:p w:rsidR="000E535F" w:rsidRPr="00F4741F" w:rsidRDefault="000E535F" w:rsidP="00F4741F">
      <w:pPr>
        <w:pStyle w:val="Prrafodelista"/>
        <w:numPr>
          <w:ilvl w:val="1"/>
          <w:numId w:val="42"/>
        </w:numPr>
        <w:autoSpaceDE w:val="0"/>
        <w:spacing w:before="240" w:after="0" w:line="240" w:lineRule="auto"/>
        <w:rPr>
          <w:rFonts w:ascii="Century Gothic" w:hAnsi="Century Gothic" w:cs="Arial"/>
          <w:b/>
          <w:bCs/>
          <w:color w:val="2E74B5" w:themeColor="accent1" w:themeShade="BF"/>
          <w:sz w:val="28"/>
          <w:szCs w:val="32"/>
        </w:rPr>
      </w:pPr>
      <w:r w:rsidRPr="00F4741F">
        <w:rPr>
          <w:rFonts w:ascii="Century Gothic" w:hAnsi="Century Gothic" w:cs="Arial"/>
          <w:b/>
          <w:bCs/>
          <w:color w:val="2E74B5" w:themeColor="accent1" w:themeShade="BF"/>
          <w:sz w:val="28"/>
          <w:szCs w:val="32"/>
        </w:rPr>
        <w:lastRenderedPageBreak/>
        <w:t>Información de utilidad para la recepción de vacunas y cadena de frío</w:t>
      </w:r>
    </w:p>
    <w:p w:rsidR="000E535F" w:rsidRDefault="000E535F" w:rsidP="000E535F">
      <w:pPr>
        <w:autoSpaceDE w:val="0"/>
        <w:spacing w:before="240" w:after="0" w:line="240" w:lineRule="auto"/>
        <w:rPr>
          <w:rFonts w:ascii="Arial" w:hAnsi="Arial" w:cs="Arial"/>
          <w:b/>
          <w:bCs/>
          <w:color w:val="00B050"/>
          <w:sz w:val="36"/>
          <w:szCs w:val="36"/>
        </w:rPr>
      </w:pPr>
    </w:p>
    <w:p w:rsidR="000E535F" w:rsidRPr="00C03CD5" w:rsidRDefault="000E535F" w:rsidP="000E535F">
      <w:pPr>
        <w:numPr>
          <w:ilvl w:val="0"/>
          <w:numId w:val="37"/>
        </w:numPr>
        <w:suppressAutoHyphens w:val="0"/>
        <w:spacing w:after="0" w:line="240" w:lineRule="auto"/>
        <w:contextualSpacing/>
        <w:jc w:val="both"/>
        <w:rPr>
          <w:rFonts w:asciiTheme="minorHAnsi" w:eastAsia="Times New Roman" w:hAnsiTheme="minorHAnsi" w:cstheme="minorHAnsi"/>
          <w:sz w:val="24"/>
          <w:szCs w:val="24"/>
          <w:lang w:eastAsia="es-ES"/>
        </w:rPr>
      </w:pPr>
      <w:r w:rsidRPr="00C03CD5">
        <w:rPr>
          <w:rFonts w:asciiTheme="minorHAnsi" w:eastAsiaTheme="minorEastAsia" w:hAnsiTheme="minorHAnsi" w:cstheme="minorHAnsi"/>
          <w:b/>
          <w:color w:val="000000" w:themeColor="text1"/>
          <w:kern w:val="24"/>
          <w:sz w:val="24"/>
          <w:szCs w:val="24"/>
          <w:lang w:val="en-US" w:eastAsia="es-ES"/>
        </w:rPr>
        <w:t>AFLURIA 10x1</w:t>
      </w:r>
      <w:r w:rsidRPr="00C03CD5">
        <w:rPr>
          <w:rFonts w:asciiTheme="minorHAnsi" w:eastAsiaTheme="minorEastAsia" w:hAnsiTheme="minorHAnsi" w:cstheme="minorHAnsi"/>
          <w:color w:val="000000" w:themeColor="text1"/>
          <w:kern w:val="24"/>
          <w:sz w:val="24"/>
          <w:szCs w:val="24"/>
          <w:lang w:eastAsia="es-ES"/>
        </w:rPr>
        <w:t xml:space="preserve"> </w:t>
      </w:r>
      <w:r w:rsidRPr="00C03CD5">
        <w:rPr>
          <w:rFonts w:asciiTheme="minorHAnsi" w:eastAsiaTheme="minorEastAsia" w:hAnsiTheme="minorHAnsi" w:cstheme="minorHAnsi"/>
          <w:color w:val="000000" w:themeColor="text1"/>
          <w:kern w:val="24"/>
          <w:sz w:val="24"/>
          <w:szCs w:val="24"/>
          <w:lang w:val="en-US" w:eastAsia="es-ES"/>
        </w:rPr>
        <w:t xml:space="preserve">Jeringa precargada con aguja y dispositivo de bioseguridad. 10x1 </w:t>
      </w:r>
    </w:p>
    <w:p w:rsidR="000E535F" w:rsidRPr="00C03CD5" w:rsidRDefault="000E535F" w:rsidP="000E535F">
      <w:pPr>
        <w:numPr>
          <w:ilvl w:val="0"/>
          <w:numId w:val="37"/>
        </w:numPr>
        <w:suppressAutoHyphens w:val="0"/>
        <w:spacing w:after="0" w:line="240" w:lineRule="auto"/>
        <w:contextualSpacing/>
        <w:jc w:val="both"/>
        <w:rPr>
          <w:rFonts w:asciiTheme="minorHAnsi" w:eastAsia="Times New Roman" w:hAnsiTheme="minorHAnsi" w:cstheme="minorHAnsi"/>
          <w:sz w:val="24"/>
          <w:szCs w:val="24"/>
          <w:lang w:eastAsia="es-ES"/>
        </w:rPr>
      </w:pPr>
      <w:r w:rsidRPr="00C03CD5">
        <w:rPr>
          <w:rFonts w:asciiTheme="minorHAnsi" w:eastAsiaTheme="minorEastAsia" w:hAnsiTheme="minorHAnsi" w:cstheme="minorHAnsi"/>
          <w:b/>
          <w:color w:val="000000" w:themeColor="text1"/>
          <w:kern w:val="24"/>
          <w:sz w:val="24"/>
          <w:szCs w:val="24"/>
          <w:lang w:val="en-US" w:eastAsia="es-ES"/>
        </w:rPr>
        <w:t>CHIROMAS 10X1</w:t>
      </w:r>
      <w:r w:rsidRPr="00C03CD5">
        <w:rPr>
          <w:rFonts w:asciiTheme="minorHAnsi" w:eastAsiaTheme="minorEastAsia" w:hAnsiTheme="minorHAnsi" w:cstheme="minorHAnsi"/>
          <w:color w:val="000000" w:themeColor="text1"/>
          <w:kern w:val="24"/>
          <w:sz w:val="24"/>
          <w:szCs w:val="24"/>
          <w:lang w:val="en-US" w:eastAsia="es-ES"/>
        </w:rPr>
        <w:t xml:space="preserve">  Jeringa precargada sin aguja. 10x1. Más agujas bioseguridad a parte.</w:t>
      </w:r>
    </w:p>
    <w:p w:rsidR="000E535F" w:rsidRPr="00C03CD5" w:rsidRDefault="000E535F" w:rsidP="000E535F">
      <w:pPr>
        <w:numPr>
          <w:ilvl w:val="0"/>
          <w:numId w:val="37"/>
        </w:numPr>
        <w:suppressAutoHyphens w:val="0"/>
        <w:spacing w:after="0" w:line="240" w:lineRule="auto"/>
        <w:contextualSpacing/>
        <w:jc w:val="both"/>
        <w:rPr>
          <w:rFonts w:asciiTheme="minorHAnsi" w:eastAsia="Times New Roman" w:hAnsiTheme="minorHAnsi" w:cstheme="minorHAnsi"/>
          <w:sz w:val="24"/>
          <w:szCs w:val="24"/>
          <w:lang w:eastAsia="es-ES"/>
        </w:rPr>
      </w:pPr>
      <w:r w:rsidRPr="00C03CD5">
        <w:rPr>
          <w:rFonts w:asciiTheme="minorHAnsi" w:eastAsiaTheme="minorEastAsia" w:hAnsiTheme="minorHAnsi" w:cstheme="minorHAnsi"/>
          <w:b/>
          <w:color w:val="000000" w:themeColor="text1"/>
          <w:kern w:val="24"/>
          <w:sz w:val="24"/>
          <w:szCs w:val="24"/>
          <w:lang w:val="en-US" w:eastAsia="es-ES"/>
        </w:rPr>
        <w:t>CHIROFLU 10x1</w:t>
      </w:r>
      <w:r w:rsidRPr="00C03CD5">
        <w:rPr>
          <w:rFonts w:asciiTheme="minorHAnsi" w:eastAsiaTheme="minorEastAsia" w:hAnsiTheme="minorHAnsi" w:cstheme="minorHAnsi"/>
          <w:color w:val="000000" w:themeColor="text1"/>
          <w:kern w:val="24"/>
          <w:sz w:val="24"/>
          <w:szCs w:val="24"/>
          <w:lang w:eastAsia="es-ES"/>
        </w:rPr>
        <w:t xml:space="preserve"> </w:t>
      </w:r>
      <w:r w:rsidRPr="00C03CD5">
        <w:rPr>
          <w:rFonts w:asciiTheme="minorHAnsi" w:eastAsiaTheme="minorEastAsia" w:hAnsiTheme="minorHAnsi" w:cstheme="minorHAnsi"/>
          <w:color w:val="000000" w:themeColor="text1"/>
          <w:kern w:val="24"/>
          <w:sz w:val="24"/>
          <w:szCs w:val="24"/>
          <w:lang w:val="en-US" w:eastAsia="es-ES"/>
        </w:rPr>
        <w:t>Jeringa precargada sin aguja. 10x1. Más agujas bioseguridad a parte.</w:t>
      </w:r>
    </w:p>
    <w:p w:rsidR="000E535F" w:rsidRDefault="000E535F" w:rsidP="000E535F">
      <w:pPr>
        <w:autoSpaceDE w:val="0"/>
        <w:spacing w:before="240" w:after="0" w:line="240" w:lineRule="auto"/>
        <w:rPr>
          <w:rFonts w:ascii="Arial" w:hAnsi="Arial" w:cs="Arial"/>
          <w:b/>
          <w:bCs/>
          <w:color w:val="000000"/>
          <w:sz w:val="23"/>
          <w:szCs w:val="23"/>
        </w:rPr>
      </w:pPr>
    </w:p>
    <w:p w:rsidR="000E535F" w:rsidRPr="00F4741F" w:rsidRDefault="000E535F" w:rsidP="000E535F">
      <w:pPr>
        <w:autoSpaceDE w:val="0"/>
        <w:spacing w:after="0" w:line="240" w:lineRule="auto"/>
        <w:jc w:val="both"/>
        <w:rPr>
          <w:rFonts w:ascii="Arial" w:hAnsi="Arial" w:cs="Arial"/>
          <w:b/>
          <w:bCs/>
          <w:color w:val="2E74B5" w:themeColor="accent1" w:themeShade="BF"/>
        </w:rPr>
      </w:pPr>
      <w:r w:rsidRPr="00F4741F">
        <w:rPr>
          <w:rFonts w:ascii="Arial" w:hAnsi="Arial" w:cs="Arial"/>
          <w:b/>
          <w:bCs/>
          <w:color w:val="2E74B5" w:themeColor="accent1" w:themeShade="BF"/>
        </w:rPr>
        <w:t>TRANSPORTE REFRIGERADO ENTRE +2ºC Y +8ºC</w:t>
      </w:r>
    </w:p>
    <w:p w:rsidR="000E535F" w:rsidRDefault="000E535F" w:rsidP="000E535F">
      <w:pPr>
        <w:autoSpaceDE w:val="0"/>
        <w:spacing w:after="0" w:line="240" w:lineRule="auto"/>
        <w:jc w:val="both"/>
        <w:rPr>
          <w:rFonts w:ascii="Arial" w:hAnsi="Arial" w:cs="Arial"/>
          <w:color w:val="000000"/>
          <w:shd w:val="clear" w:color="auto" w:fill="FFFF00"/>
        </w:rPr>
      </w:pPr>
    </w:p>
    <w:p w:rsidR="000E535F" w:rsidRPr="00AB1796" w:rsidRDefault="000E535F" w:rsidP="000E535F">
      <w:pPr>
        <w:autoSpaceDE w:val="0"/>
        <w:spacing w:after="0" w:line="240" w:lineRule="auto"/>
        <w:jc w:val="both"/>
        <w:rPr>
          <w:rStyle w:val="nfasis"/>
        </w:rPr>
      </w:pPr>
      <w:r w:rsidRPr="00AB1796">
        <w:rPr>
          <w:rStyle w:val="nfasis"/>
        </w:rPr>
        <w:t>- Empresa encargada del transporte: INTEGRA2; Servicio: FRIOFARMA.</w:t>
      </w:r>
    </w:p>
    <w:p w:rsidR="000E535F" w:rsidRPr="00AB1796" w:rsidRDefault="000E535F" w:rsidP="000E535F">
      <w:pPr>
        <w:autoSpaceDE w:val="0"/>
        <w:spacing w:after="0" w:line="240" w:lineRule="auto"/>
        <w:jc w:val="both"/>
        <w:rPr>
          <w:rStyle w:val="nfasis"/>
        </w:rPr>
      </w:pPr>
      <w:r w:rsidRPr="00AB1796">
        <w:rPr>
          <w:rStyle w:val="nfasis"/>
        </w:rPr>
        <w:t>- Características: camión frigorífico con control de temperatura.</w:t>
      </w:r>
    </w:p>
    <w:p w:rsidR="000E535F" w:rsidRPr="00F4741F" w:rsidRDefault="000E535F" w:rsidP="000E535F">
      <w:pPr>
        <w:autoSpaceDE w:val="0"/>
        <w:spacing w:after="0" w:line="240" w:lineRule="auto"/>
        <w:jc w:val="both"/>
        <w:rPr>
          <w:rFonts w:ascii="Arial" w:hAnsi="Arial" w:cs="Arial"/>
          <w:b/>
          <w:bCs/>
          <w:color w:val="2E74B5" w:themeColor="accent1" w:themeShade="BF"/>
        </w:rPr>
      </w:pPr>
    </w:p>
    <w:p w:rsidR="000E535F" w:rsidRDefault="000E535F" w:rsidP="000E535F">
      <w:pPr>
        <w:autoSpaceDE w:val="0"/>
        <w:spacing w:after="0" w:line="240" w:lineRule="auto"/>
        <w:jc w:val="both"/>
        <w:rPr>
          <w:rFonts w:ascii="Arial" w:hAnsi="Arial" w:cs="Arial"/>
          <w:b/>
          <w:bCs/>
          <w:color w:val="2E74B5" w:themeColor="accent1" w:themeShade="BF"/>
        </w:rPr>
      </w:pPr>
      <w:r w:rsidRPr="00F4741F">
        <w:rPr>
          <w:rFonts w:ascii="Arial" w:hAnsi="Arial" w:cs="Arial"/>
          <w:b/>
          <w:bCs/>
          <w:color w:val="2E74B5" w:themeColor="accent1" w:themeShade="BF"/>
        </w:rPr>
        <w:t>PACKAGING</w:t>
      </w:r>
    </w:p>
    <w:p w:rsidR="00F4741F" w:rsidRPr="00F4741F" w:rsidRDefault="00F4741F" w:rsidP="000E535F">
      <w:pPr>
        <w:autoSpaceDE w:val="0"/>
        <w:spacing w:after="0" w:line="240" w:lineRule="auto"/>
        <w:jc w:val="both"/>
        <w:rPr>
          <w:rFonts w:ascii="Arial" w:hAnsi="Arial" w:cs="Arial"/>
          <w:color w:val="2E74B5" w:themeColor="accent1" w:themeShade="BF"/>
        </w:rPr>
      </w:pPr>
    </w:p>
    <w:p w:rsidR="000E535F" w:rsidRDefault="000E535F" w:rsidP="000E535F">
      <w:pPr>
        <w:pStyle w:val="WW-Default"/>
        <w:jc w:val="both"/>
        <w:rPr>
          <w:rFonts w:ascii="Arial" w:hAnsi="Arial" w:cs="Arial"/>
          <w:sz w:val="22"/>
          <w:szCs w:val="22"/>
        </w:rPr>
      </w:pPr>
      <w:r>
        <w:rPr>
          <w:rFonts w:ascii="Arial" w:hAnsi="Arial" w:cs="Arial"/>
          <w:sz w:val="22"/>
          <w:szCs w:val="22"/>
        </w:rPr>
        <w:t>Las vacunas irán acondicionas en cajas de poliestireno extruido revestido con Aluminio-Kraft blanco de 5mm de espesor.</w:t>
      </w:r>
    </w:p>
    <w:p w:rsidR="000E535F" w:rsidRDefault="000E535F" w:rsidP="000E535F">
      <w:pPr>
        <w:pStyle w:val="WW-Default"/>
        <w:jc w:val="both"/>
        <w:rPr>
          <w:rFonts w:ascii="Arial" w:hAnsi="Arial" w:cs="Arial"/>
          <w:sz w:val="22"/>
          <w:szCs w:val="22"/>
        </w:rPr>
      </w:pPr>
      <w:r>
        <w:rPr>
          <w:rFonts w:ascii="Arial" w:hAnsi="Arial" w:cs="Arial"/>
          <w:sz w:val="22"/>
          <w:szCs w:val="22"/>
        </w:rPr>
        <w:t>Los acumuladores son flexibles de 1000 gr y contienen gel refrigerado a (+2º ; +8ºC).</w:t>
      </w:r>
    </w:p>
    <w:p w:rsidR="000E535F" w:rsidRDefault="000E535F" w:rsidP="000E535F">
      <w:pPr>
        <w:pStyle w:val="WW-Default"/>
        <w:jc w:val="both"/>
        <w:rPr>
          <w:rFonts w:ascii="Arial" w:hAnsi="Arial" w:cs="Arial"/>
          <w:sz w:val="22"/>
          <w:szCs w:val="22"/>
        </w:rPr>
      </w:pPr>
    </w:p>
    <w:p w:rsidR="000E535F" w:rsidRDefault="000E535F" w:rsidP="000E535F">
      <w:pPr>
        <w:pStyle w:val="WW-Default"/>
        <w:jc w:val="both"/>
        <w:rPr>
          <w:rFonts w:ascii="Arial" w:hAnsi="Arial" w:cs="Arial"/>
          <w:sz w:val="22"/>
          <w:szCs w:val="22"/>
        </w:rPr>
      </w:pPr>
      <w:r>
        <w:rPr>
          <w:rFonts w:ascii="Arial" w:hAnsi="Arial" w:cs="Arial"/>
          <w:sz w:val="22"/>
          <w:szCs w:val="22"/>
        </w:rPr>
        <w:t>Características de las Cajas y distribución de los acumuladores:</w:t>
      </w:r>
    </w:p>
    <w:p w:rsidR="000E535F" w:rsidRDefault="000E535F" w:rsidP="000E535F">
      <w:pPr>
        <w:pStyle w:val="WW-Default"/>
        <w:jc w:val="both"/>
        <w:rPr>
          <w:rFonts w:ascii="Arial" w:hAnsi="Arial" w:cs="Arial"/>
          <w:sz w:val="22"/>
          <w:szCs w:val="22"/>
        </w:rPr>
      </w:pPr>
    </w:p>
    <w:p w:rsidR="000E535F" w:rsidRDefault="000E535F" w:rsidP="000E535F">
      <w:pPr>
        <w:pStyle w:val="WW-Default"/>
        <w:jc w:val="both"/>
        <w:rPr>
          <w:sz w:val="22"/>
          <w:szCs w:val="22"/>
        </w:rPr>
      </w:pPr>
      <w:r>
        <w:rPr>
          <w:rFonts w:ascii="Arial" w:hAnsi="Arial" w:cs="Arial"/>
          <w:sz w:val="22"/>
          <w:szCs w:val="22"/>
        </w:rPr>
        <w:t xml:space="preserve">- Caja completa – presentación 10x1                       Caja de picking                                                                             </w:t>
      </w:r>
      <w:r>
        <w:rPr>
          <w:sz w:val="22"/>
          <w:szCs w:val="22"/>
        </w:rPr>
        <w:t xml:space="preserve">                                                   </w:t>
      </w:r>
    </w:p>
    <w:p w:rsidR="000E535F" w:rsidRDefault="000E535F" w:rsidP="000E535F">
      <w:pPr>
        <w:pStyle w:val="WW-Default"/>
        <w:rPr>
          <w:sz w:val="22"/>
          <w:szCs w:val="22"/>
        </w:rPr>
      </w:pPr>
    </w:p>
    <w:p w:rsidR="000E535F" w:rsidRDefault="000E535F" w:rsidP="000E535F">
      <w:pPr>
        <w:pStyle w:val="WW-Default"/>
        <w:rPr>
          <w:rFonts w:ascii="Arial" w:hAnsi="Arial" w:cs="Arial"/>
          <w:bCs/>
        </w:rPr>
      </w:pPr>
      <w:r>
        <w:rPr>
          <w:sz w:val="22"/>
          <w:szCs w:val="22"/>
        </w:rPr>
        <w:t xml:space="preserve">                   </w:t>
      </w:r>
      <w:r>
        <w:rPr>
          <w:noProof/>
          <w:sz w:val="22"/>
          <w:szCs w:val="22"/>
          <w:lang w:eastAsia="es-ES"/>
        </w:rPr>
        <w:drawing>
          <wp:inline distT="0" distB="0" distL="0" distR="0" wp14:anchorId="3ED2F937" wp14:editId="3EAF91C4">
            <wp:extent cx="1009650" cy="21151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2115185"/>
                    </a:xfrm>
                    <a:prstGeom prst="rect">
                      <a:avLst/>
                    </a:prstGeom>
                    <a:solidFill>
                      <a:srgbClr val="FFFFFF"/>
                    </a:solidFill>
                    <a:ln>
                      <a:noFill/>
                    </a:ln>
                  </pic:spPr>
                </pic:pic>
              </a:graphicData>
            </a:graphic>
          </wp:inline>
        </w:drawing>
      </w:r>
      <w:r>
        <w:rPr>
          <w:sz w:val="22"/>
          <w:szCs w:val="22"/>
        </w:rPr>
        <w:t xml:space="preserve">                                      </w:t>
      </w:r>
      <w:r>
        <w:rPr>
          <w:noProof/>
          <w:sz w:val="22"/>
          <w:szCs w:val="22"/>
          <w:lang w:eastAsia="es-ES"/>
        </w:rPr>
        <w:drawing>
          <wp:inline distT="0" distB="0" distL="0" distR="0" wp14:anchorId="7077F46D" wp14:editId="44E8ECD6">
            <wp:extent cx="1223010" cy="2019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3010" cy="2019300"/>
                    </a:xfrm>
                    <a:prstGeom prst="rect">
                      <a:avLst/>
                    </a:prstGeom>
                    <a:solidFill>
                      <a:srgbClr val="FFFFFF"/>
                    </a:solidFill>
                    <a:ln>
                      <a:noFill/>
                    </a:ln>
                  </pic:spPr>
                </pic:pic>
              </a:graphicData>
            </a:graphic>
          </wp:inline>
        </w:drawing>
      </w:r>
      <w:r>
        <w:rPr>
          <w:sz w:val="22"/>
          <w:szCs w:val="22"/>
        </w:rPr>
        <w:t xml:space="preserve"> </w:t>
      </w:r>
    </w:p>
    <w:p w:rsidR="000E535F" w:rsidRDefault="000E535F" w:rsidP="000E535F">
      <w:pPr>
        <w:autoSpaceDE w:val="0"/>
        <w:spacing w:after="0" w:line="240" w:lineRule="auto"/>
        <w:rPr>
          <w:rFonts w:ascii="Arial" w:hAnsi="Arial" w:cs="Arial"/>
          <w:bCs/>
          <w:shd w:val="clear" w:color="auto" w:fill="FFFF00"/>
        </w:rPr>
      </w:pPr>
      <w:r>
        <w:rPr>
          <w:rFonts w:ascii="Arial" w:hAnsi="Arial" w:cs="Arial"/>
          <w:bCs/>
        </w:rPr>
        <w:t xml:space="preserve">                Volumen útil: 18,4L                                  Volumen útil: 15,9L</w:t>
      </w:r>
    </w:p>
    <w:p w:rsidR="000E535F" w:rsidRDefault="000E535F" w:rsidP="000E535F">
      <w:pPr>
        <w:autoSpaceDE w:val="0"/>
        <w:spacing w:after="0" w:line="240" w:lineRule="auto"/>
        <w:rPr>
          <w:rFonts w:ascii="Arial" w:hAnsi="Arial" w:cs="Arial"/>
          <w:bCs/>
          <w:shd w:val="clear" w:color="auto" w:fill="FFFF00"/>
        </w:rPr>
      </w:pPr>
    </w:p>
    <w:p w:rsidR="000E535F" w:rsidRDefault="000E535F" w:rsidP="000E535F">
      <w:pPr>
        <w:autoSpaceDE w:val="0"/>
        <w:spacing w:after="0" w:line="240" w:lineRule="auto"/>
        <w:rPr>
          <w:rFonts w:ascii="Arial" w:hAnsi="Arial" w:cs="Arial"/>
          <w:bCs/>
          <w:shd w:val="clear" w:color="auto" w:fill="FFFF00"/>
        </w:rPr>
      </w:pPr>
    </w:p>
    <w:p w:rsidR="000E535F" w:rsidRDefault="000E535F" w:rsidP="000E535F">
      <w:pPr>
        <w:autoSpaceDE w:val="0"/>
        <w:spacing w:after="0" w:line="240" w:lineRule="auto"/>
        <w:jc w:val="both"/>
        <w:rPr>
          <w:rFonts w:ascii="Arial" w:hAnsi="Arial" w:cs="Arial"/>
          <w:bCs/>
        </w:rPr>
      </w:pPr>
      <w:r>
        <w:rPr>
          <w:rFonts w:ascii="Arial" w:hAnsi="Arial" w:cs="Arial"/>
          <w:bCs/>
        </w:rPr>
        <w:t>En la etiqueta exterior se incluirán las instrucciones de lectura de los monitores de temperatura y de congelación.</w:t>
      </w:r>
    </w:p>
    <w:p w:rsidR="000E535F" w:rsidRDefault="000E535F" w:rsidP="000E535F">
      <w:pPr>
        <w:autoSpaceDE w:val="0"/>
        <w:spacing w:after="0" w:line="240" w:lineRule="auto"/>
        <w:jc w:val="center"/>
        <w:rPr>
          <w:rFonts w:ascii="Arial" w:hAnsi="Arial" w:cs="Arial"/>
          <w:bCs/>
        </w:rPr>
      </w:pPr>
    </w:p>
    <w:p w:rsidR="000E535F" w:rsidRDefault="000E535F" w:rsidP="000E535F">
      <w:pPr>
        <w:autoSpaceDE w:val="0"/>
        <w:spacing w:after="0" w:line="240" w:lineRule="auto"/>
        <w:jc w:val="center"/>
        <w:rPr>
          <w:rFonts w:ascii="Arial" w:hAnsi="Arial" w:cs="Arial"/>
          <w:bCs/>
          <w:shd w:val="clear" w:color="auto" w:fill="FFFF00"/>
        </w:rPr>
      </w:pPr>
      <w:r>
        <w:rPr>
          <w:rFonts w:ascii="Arial" w:hAnsi="Arial" w:cs="Arial"/>
          <w:bCs/>
          <w:noProof/>
          <w:lang w:eastAsia="es-ES"/>
        </w:rPr>
        <w:drawing>
          <wp:inline distT="0" distB="0" distL="0" distR="0" wp14:anchorId="36D2B5AB" wp14:editId="4C90387D">
            <wp:extent cx="1702741" cy="1553841"/>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7925" cy="1567698"/>
                    </a:xfrm>
                    <a:prstGeom prst="rect">
                      <a:avLst/>
                    </a:prstGeom>
                    <a:solidFill>
                      <a:srgbClr val="FFFFFF"/>
                    </a:solidFill>
                    <a:ln>
                      <a:noFill/>
                    </a:ln>
                  </pic:spPr>
                </pic:pic>
              </a:graphicData>
            </a:graphic>
          </wp:inline>
        </w:drawing>
      </w:r>
    </w:p>
    <w:p w:rsidR="000E535F" w:rsidRDefault="000E535F" w:rsidP="000E535F">
      <w:pPr>
        <w:autoSpaceDE w:val="0"/>
        <w:spacing w:after="0" w:line="240" w:lineRule="auto"/>
        <w:jc w:val="center"/>
        <w:rPr>
          <w:rFonts w:ascii="Arial" w:hAnsi="Arial" w:cs="Arial"/>
          <w:bCs/>
          <w:shd w:val="clear" w:color="auto" w:fill="FFFF00"/>
        </w:rPr>
      </w:pPr>
    </w:p>
    <w:p w:rsidR="000E535F" w:rsidRDefault="000E535F" w:rsidP="000E535F">
      <w:pPr>
        <w:autoSpaceDE w:val="0"/>
        <w:spacing w:after="0" w:line="240" w:lineRule="auto"/>
        <w:rPr>
          <w:rFonts w:ascii="Arial" w:hAnsi="Arial" w:cs="Arial"/>
          <w:b/>
          <w:bCs/>
        </w:rPr>
      </w:pPr>
    </w:p>
    <w:p w:rsidR="00AB1796" w:rsidRDefault="00AB1796" w:rsidP="000E535F">
      <w:pPr>
        <w:autoSpaceDE w:val="0"/>
        <w:spacing w:after="0" w:line="240" w:lineRule="auto"/>
        <w:rPr>
          <w:rFonts w:ascii="Arial" w:hAnsi="Arial" w:cs="Arial"/>
          <w:b/>
          <w:bCs/>
        </w:rPr>
      </w:pPr>
    </w:p>
    <w:p w:rsidR="00AB1796" w:rsidRDefault="00AB1796" w:rsidP="000E535F">
      <w:pPr>
        <w:autoSpaceDE w:val="0"/>
        <w:spacing w:after="0" w:line="240" w:lineRule="auto"/>
        <w:rPr>
          <w:rFonts w:ascii="Arial" w:hAnsi="Arial" w:cs="Arial"/>
          <w:b/>
          <w:bCs/>
        </w:rPr>
      </w:pPr>
    </w:p>
    <w:p w:rsidR="00AB1796" w:rsidRPr="00F4741F" w:rsidRDefault="00AB1796" w:rsidP="000E535F">
      <w:pPr>
        <w:autoSpaceDE w:val="0"/>
        <w:spacing w:after="0" w:line="240" w:lineRule="auto"/>
        <w:rPr>
          <w:rFonts w:ascii="Arial" w:hAnsi="Arial" w:cs="Arial"/>
          <w:b/>
          <w:bCs/>
          <w:color w:val="2E74B5" w:themeColor="accent1" w:themeShade="BF"/>
        </w:rPr>
      </w:pPr>
    </w:p>
    <w:p w:rsidR="000E535F" w:rsidRPr="00F4741F" w:rsidRDefault="000E535F" w:rsidP="000E535F">
      <w:pPr>
        <w:autoSpaceDE w:val="0"/>
        <w:spacing w:after="0" w:line="240" w:lineRule="auto"/>
        <w:rPr>
          <w:rFonts w:ascii="Arial" w:hAnsi="Arial" w:cs="Arial"/>
          <w:b/>
          <w:bCs/>
          <w:color w:val="2E74B5" w:themeColor="accent1" w:themeShade="BF"/>
        </w:rPr>
      </w:pPr>
      <w:r w:rsidRPr="00F4741F">
        <w:rPr>
          <w:rFonts w:ascii="Arial" w:hAnsi="Arial" w:cs="Arial"/>
          <w:b/>
          <w:bCs/>
          <w:color w:val="2E74B5" w:themeColor="accent1" w:themeShade="BF"/>
        </w:rPr>
        <w:t>INDICADORES</w:t>
      </w:r>
    </w:p>
    <w:p w:rsidR="000E535F" w:rsidRDefault="000E535F" w:rsidP="000E535F">
      <w:pPr>
        <w:autoSpaceDE w:val="0"/>
        <w:spacing w:after="0" w:line="240" w:lineRule="auto"/>
        <w:rPr>
          <w:rFonts w:ascii="Arial" w:hAnsi="Arial" w:cs="Arial"/>
          <w:b/>
          <w:bCs/>
        </w:rPr>
      </w:pPr>
    </w:p>
    <w:p w:rsidR="000E535F" w:rsidRDefault="000E535F" w:rsidP="000E535F">
      <w:pPr>
        <w:autoSpaceDE w:val="0"/>
        <w:spacing w:after="0" w:line="240" w:lineRule="auto"/>
        <w:rPr>
          <w:rFonts w:ascii="Arial" w:hAnsi="Arial" w:cs="Arial"/>
        </w:rPr>
      </w:pPr>
      <w:r>
        <w:rPr>
          <w:rFonts w:ascii="Arial" w:hAnsi="Arial" w:cs="Arial"/>
          <w:b/>
          <w:bCs/>
        </w:rPr>
        <w:t>Tipos de indicadores utilizados:</w:t>
      </w:r>
    </w:p>
    <w:p w:rsidR="000E535F" w:rsidRDefault="000E535F" w:rsidP="000E535F">
      <w:pPr>
        <w:autoSpaceDE w:val="0"/>
        <w:spacing w:after="0" w:line="240" w:lineRule="auto"/>
        <w:jc w:val="both"/>
        <w:rPr>
          <w:rFonts w:ascii="Arial" w:hAnsi="Arial" w:cs="Arial"/>
          <w:b/>
          <w:bCs/>
          <w:sz w:val="23"/>
          <w:szCs w:val="23"/>
        </w:rPr>
      </w:pPr>
      <w:r>
        <w:rPr>
          <w:rFonts w:ascii="Arial" w:hAnsi="Arial" w:cs="Arial"/>
        </w:rPr>
        <w:t>a) Indicador de temperatura alta: 3M Monitor Mark (9860C):</w:t>
      </w:r>
    </w:p>
    <w:p w:rsidR="000E535F" w:rsidRDefault="000E535F" w:rsidP="000E535F">
      <w:pPr>
        <w:autoSpaceDE w:val="0"/>
        <w:spacing w:after="0" w:line="240" w:lineRule="auto"/>
        <w:jc w:val="center"/>
        <w:rPr>
          <w:rFonts w:ascii="Arial" w:hAnsi="Arial" w:cs="Arial"/>
          <w:b/>
          <w:bCs/>
          <w:sz w:val="23"/>
          <w:szCs w:val="23"/>
        </w:rPr>
      </w:pPr>
    </w:p>
    <w:p w:rsidR="000E535F" w:rsidRDefault="000E535F" w:rsidP="000E535F">
      <w:pPr>
        <w:autoSpaceDE w:val="0"/>
        <w:spacing w:after="0" w:line="240" w:lineRule="auto"/>
        <w:jc w:val="center"/>
        <w:rPr>
          <w:rFonts w:ascii="Arial" w:hAnsi="Arial" w:cs="Arial"/>
        </w:rPr>
      </w:pPr>
      <w:r>
        <w:rPr>
          <w:rFonts w:ascii="Arial" w:hAnsi="Arial" w:cs="Arial"/>
          <w:b/>
          <w:bCs/>
          <w:noProof/>
          <w:sz w:val="23"/>
          <w:szCs w:val="23"/>
          <w:lang w:eastAsia="es-ES"/>
        </w:rPr>
        <w:drawing>
          <wp:inline distT="0" distB="0" distL="0" distR="0" wp14:anchorId="53D3E54E" wp14:editId="0310CFA2">
            <wp:extent cx="2501900" cy="5556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1900" cy="555625"/>
                    </a:xfrm>
                    <a:prstGeom prst="rect">
                      <a:avLst/>
                    </a:prstGeom>
                    <a:solidFill>
                      <a:srgbClr val="FFFFFF"/>
                    </a:solidFill>
                    <a:ln>
                      <a:noFill/>
                    </a:ln>
                  </pic:spPr>
                </pic:pic>
              </a:graphicData>
            </a:graphic>
          </wp:inline>
        </w:drawing>
      </w:r>
    </w:p>
    <w:p w:rsidR="000E535F" w:rsidRDefault="000E535F" w:rsidP="000E535F">
      <w:pPr>
        <w:autoSpaceDE w:val="0"/>
        <w:spacing w:after="0" w:line="240" w:lineRule="auto"/>
        <w:rPr>
          <w:rFonts w:ascii="Arial" w:hAnsi="Arial" w:cs="Arial"/>
        </w:rPr>
      </w:pPr>
    </w:p>
    <w:p w:rsidR="000E535F" w:rsidRDefault="000E535F" w:rsidP="000E535F">
      <w:pPr>
        <w:autoSpaceDE w:val="0"/>
        <w:spacing w:after="0" w:line="240" w:lineRule="auto"/>
        <w:rPr>
          <w:rFonts w:ascii="Arial" w:hAnsi="Arial" w:cs="Arial"/>
          <w:b/>
          <w:bCs/>
          <w:sz w:val="23"/>
          <w:szCs w:val="23"/>
        </w:rPr>
      </w:pPr>
      <w:r>
        <w:rPr>
          <w:rFonts w:ascii="Arial" w:hAnsi="Arial" w:cs="Arial"/>
        </w:rPr>
        <w:t>b) Indicador de congelación: FreezeAlert</w:t>
      </w:r>
    </w:p>
    <w:p w:rsidR="000E535F" w:rsidRDefault="000E535F" w:rsidP="000E535F">
      <w:pPr>
        <w:autoSpaceDE w:val="0"/>
        <w:spacing w:after="0" w:line="240" w:lineRule="auto"/>
        <w:jc w:val="center"/>
        <w:rPr>
          <w:rFonts w:ascii="Arial" w:hAnsi="Arial" w:cs="Arial"/>
          <w:b/>
          <w:bCs/>
          <w:sz w:val="23"/>
          <w:szCs w:val="23"/>
        </w:rPr>
      </w:pPr>
    </w:p>
    <w:p w:rsidR="000E535F" w:rsidRDefault="000E535F" w:rsidP="000E535F">
      <w:pPr>
        <w:autoSpaceDE w:val="0"/>
        <w:spacing w:after="0" w:line="240" w:lineRule="auto"/>
        <w:jc w:val="center"/>
        <w:rPr>
          <w:rFonts w:ascii="Arial" w:hAnsi="Arial" w:cs="Arial"/>
          <w:b/>
          <w:bCs/>
          <w:sz w:val="23"/>
          <w:szCs w:val="23"/>
        </w:rPr>
      </w:pPr>
      <w:r>
        <w:rPr>
          <w:rFonts w:ascii="Arial" w:hAnsi="Arial" w:cs="Arial"/>
          <w:b/>
          <w:bCs/>
          <w:noProof/>
          <w:sz w:val="23"/>
          <w:szCs w:val="23"/>
          <w:lang w:eastAsia="es-ES"/>
        </w:rPr>
        <w:drawing>
          <wp:inline distT="0" distB="0" distL="0" distR="0" wp14:anchorId="36FA3BB7" wp14:editId="38D1A85C">
            <wp:extent cx="807720" cy="1060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7720" cy="1060450"/>
                    </a:xfrm>
                    <a:prstGeom prst="rect">
                      <a:avLst/>
                    </a:prstGeom>
                    <a:solidFill>
                      <a:srgbClr val="FFFFFF"/>
                    </a:solidFill>
                    <a:ln>
                      <a:noFill/>
                    </a:ln>
                  </pic:spPr>
                </pic:pic>
              </a:graphicData>
            </a:graphic>
          </wp:inline>
        </w:drawing>
      </w:r>
    </w:p>
    <w:p w:rsidR="000E535F" w:rsidRDefault="000E535F" w:rsidP="000E535F">
      <w:pPr>
        <w:autoSpaceDE w:val="0"/>
        <w:spacing w:after="0" w:line="240" w:lineRule="auto"/>
        <w:rPr>
          <w:rFonts w:ascii="Arial" w:hAnsi="Arial" w:cs="Arial"/>
          <w:b/>
          <w:bCs/>
          <w:sz w:val="23"/>
          <w:szCs w:val="23"/>
        </w:rPr>
      </w:pPr>
    </w:p>
    <w:p w:rsidR="000E535F" w:rsidRPr="00F4741F" w:rsidRDefault="000E535F" w:rsidP="000E535F">
      <w:pPr>
        <w:autoSpaceDE w:val="0"/>
        <w:spacing w:after="0" w:line="240" w:lineRule="auto"/>
        <w:rPr>
          <w:rFonts w:ascii="Arial" w:hAnsi="Arial" w:cs="Arial"/>
          <w:b/>
          <w:bCs/>
          <w:color w:val="2E74B5" w:themeColor="accent1" w:themeShade="BF"/>
          <w:sz w:val="23"/>
          <w:szCs w:val="23"/>
        </w:rPr>
      </w:pPr>
      <w:r w:rsidRPr="00F4741F">
        <w:rPr>
          <w:rFonts w:ascii="Arial" w:hAnsi="Arial" w:cs="Arial"/>
          <w:b/>
          <w:bCs/>
          <w:color w:val="2E74B5" w:themeColor="accent1" w:themeShade="BF"/>
          <w:sz w:val="23"/>
          <w:szCs w:val="23"/>
        </w:rPr>
        <w:t>Cantidad y colocación:</w:t>
      </w:r>
    </w:p>
    <w:p w:rsidR="00F4741F" w:rsidRDefault="00F4741F" w:rsidP="000E535F">
      <w:pPr>
        <w:autoSpaceDE w:val="0"/>
        <w:spacing w:after="0" w:line="240" w:lineRule="auto"/>
        <w:rPr>
          <w:rFonts w:ascii="Arial" w:hAnsi="Arial" w:cs="Arial"/>
          <w:sz w:val="23"/>
          <w:szCs w:val="23"/>
        </w:rPr>
      </w:pPr>
    </w:p>
    <w:p w:rsidR="000E535F" w:rsidRDefault="000E535F" w:rsidP="000E535F">
      <w:pPr>
        <w:autoSpaceDE w:val="0"/>
        <w:spacing w:after="0" w:line="240" w:lineRule="auto"/>
        <w:rPr>
          <w:rFonts w:ascii="Arial" w:hAnsi="Arial" w:cs="Arial"/>
          <w:sz w:val="23"/>
          <w:szCs w:val="23"/>
        </w:rPr>
      </w:pPr>
      <w:r>
        <w:rPr>
          <w:rFonts w:ascii="Arial" w:hAnsi="Arial" w:cs="Arial"/>
          <w:sz w:val="23"/>
          <w:szCs w:val="23"/>
        </w:rPr>
        <w:t>Los indicadores se colocarán próximos al producto.</w:t>
      </w:r>
    </w:p>
    <w:p w:rsidR="000E535F" w:rsidRDefault="000E535F" w:rsidP="000E535F">
      <w:pPr>
        <w:autoSpaceDE w:val="0"/>
        <w:spacing w:after="0" w:line="240" w:lineRule="auto"/>
        <w:rPr>
          <w:rFonts w:ascii="Arial" w:hAnsi="Arial" w:cs="Arial"/>
          <w:b/>
          <w:bCs/>
          <w:sz w:val="23"/>
          <w:szCs w:val="23"/>
          <w:shd w:val="clear" w:color="auto" w:fill="FFFF00"/>
        </w:rPr>
      </w:pPr>
      <w:r>
        <w:rPr>
          <w:rFonts w:ascii="Arial" w:hAnsi="Arial" w:cs="Arial"/>
          <w:sz w:val="23"/>
          <w:szCs w:val="23"/>
        </w:rPr>
        <w:t>Dependiendo del volumen, se colocarán indicadores por palé o por caja.</w:t>
      </w:r>
    </w:p>
    <w:p w:rsidR="000E535F" w:rsidRDefault="000E535F" w:rsidP="000E535F">
      <w:pPr>
        <w:autoSpaceDE w:val="0"/>
        <w:spacing w:after="0" w:line="240" w:lineRule="auto"/>
        <w:jc w:val="both"/>
        <w:rPr>
          <w:rFonts w:ascii="Arial" w:hAnsi="Arial" w:cs="Arial"/>
          <w:b/>
          <w:bCs/>
          <w:sz w:val="23"/>
          <w:szCs w:val="23"/>
          <w:shd w:val="clear" w:color="auto" w:fill="FFFF00"/>
        </w:rPr>
      </w:pPr>
    </w:p>
    <w:p w:rsidR="000E535F" w:rsidRDefault="000E535F" w:rsidP="000E535F">
      <w:pPr>
        <w:autoSpaceDE w:val="0"/>
        <w:spacing w:after="0" w:line="240" w:lineRule="auto"/>
        <w:rPr>
          <w:rFonts w:ascii="Arial" w:hAnsi="Arial" w:cs="Arial"/>
          <w:b/>
          <w:bCs/>
          <w:sz w:val="23"/>
          <w:szCs w:val="23"/>
        </w:rPr>
      </w:pPr>
      <w:r>
        <w:rPr>
          <w:rFonts w:ascii="Arial" w:hAnsi="Arial" w:cs="Arial"/>
          <w:b/>
          <w:bCs/>
          <w:sz w:val="23"/>
          <w:szCs w:val="23"/>
        </w:rPr>
        <w:t>Instrucciones de lectura</w:t>
      </w:r>
    </w:p>
    <w:p w:rsidR="000E535F" w:rsidRDefault="000E535F" w:rsidP="000E535F">
      <w:pPr>
        <w:autoSpaceDE w:val="0"/>
        <w:spacing w:after="0" w:line="240" w:lineRule="auto"/>
        <w:jc w:val="center"/>
        <w:rPr>
          <w:rFonts w:ascii="Arial" w:hAnsi="Arial" w:cs="Arial"/>
          <w:b/>
          <w:bCs/>
          <w:sz w:val="23"/>
          <w:szCs w:val="23"/>
        </w:rPr>
      </w:pPr>
    </w:p>
    <w:p w:rsidR="000E535F" w:rsidRDefault="000E535F" w:rsidP="000E535F">
      <w:pPr>
        <w:autoSpaceDE w:val="0"/>
        <w:spacing w:after="0" w:line="240" w:lineRule="auto"/>
        <w:jc w:val="center"/>
        <w:rPr>
          <w:rFonts w:ascii="Arial" w:hAnsi="Arial" w:cs="Arial"/>
          <w:b/>
          <w:bCs/>
          <w:sz w:val="23"/>
          <w:szCs w:val="23"/>
        </w:rPr>
      </w:pPr>
      <w:r>
        <w:rPr>
          <w:rFonts w:ascii="Arial" w:hAnsi="Arial" w:cs="Arial"/>
          <w:b/>
          <w:bCs/>
          <w:noProof/>
          <w:lang w:eastAsia="es-ES"/>
        </w:rPr>
        <w:drawing>
          <wp:inline distT="0" distB="0" distL="0" distR="0" wp14:anchorId="5E34A9D6" wp14:editId="25645D79">
            <wp:extent cx="4415155" cy="20758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15155" cy="2075815"/>
                    </a:xfrm>
                    <a:prstGeom prst="rect">
                      <a:avLst/>
                    </a:prstGeom>
                    <a:solidFill>
                      <a:srgbClr val="FFFFFF"/>
                    </a:solidFill>
                    <a:ln>
                      <a:noFill/>
                    </a:ln>
                  </pic:spPr>
                </pic:pic>
              </a:graphicData>
            </a:graphic>
          </wp:inline>
        </w:drawing>
      </w:r>
    </w:p>
    <w:p w:rsidR="000E535F" w:rsidRDefault="000E535F" w:rsidP="000E535F">
      <w:pPr>
        <w:autoSpaceDE w:val="0"/>
        <w:spacing w:after="0" w:line="240" w:lineRule="auto"/>
        <w:jc w:val="both"/>
        <w:rPr>
          <w:rFonts w:ascii="Arial" w:hAnsi="Arial" w:cs="Arial"/>
          <w:b/>
          <w:bCs/>
          <w:sz w:val="23"/>
          <w:szCs w:val="23"/>
        </w:rPr>
      </w:pPr>
    </w:p>
    <w:p w:rsidR="000E535F" w:rsidRDefault="000E535F" w:rsidP="000E535F">
      <w:pPr>
        <w:numPr>
          <w:ilvl w:val="0"/>
          <w:numId w:val="15"/>
        </w:numPr>
        <w:autoSpaceDE w:val="0"/>
        <w:spacing w:after="0" w:line="240" w:lineRule="auto"/>
        <w:jc w:val="both"/>
        <w:rPr>
          <w:rFonts w:ascii="Arial" w:hAnsi="Arial" w:cs="Arial"/>
          <w:sz w:val="23"/>
          <w:szCs w:val="23"/>
        </w:rPr>
      </w:pPr>
      <w:r>
        <w:rPr>
          <w:rFonts w:ascii="Arial" w:hAnsi="Arial" w:cs="Arial"/>
          <w:b/>
          <w:bCs/>
          <w:sz w:val="23"/>
          <w:szCs w:val="23"/>
        </w:rPr>
        <w:t xml:space="preserve">Monitor de temperatura superior </w:t>
      </w:r>
      <w:r>
        <w:rPr>
          <w:rFonts w:ascii="Arial" w:hAnsi="Arial" w:cs="Arial"/>
          <w:b/>
          <w:bCs/>
          <w:i/>
          <w:iCs/>
          <w:sz w:val="23"/>
          <w:szCs w:val="23"/>
        </w:rPr>
        <w:t xml:space="preserve">3M Monitor Mark. </w:t>
      </w:r>
      <w:r>
        <w:rPr>
          <w:rFonts w:ascii="Arial" w:hAnsi="Arial" w:cs="Arial"/>
          <w:bCs/>
          <w:sz w:val="23"/>
          <w:szCs w:val="23"/>
        </w:rPr>
        <w:t>Previo a cualquier comprobación,</w:t>
      </w:r>
      <w:r>
        <w:rPr>
          <w:rFonts w:ascii="Arial" w:hAnsi="Arial" w:cs="Arial"/>
          <w:b/>
          <w:bCs/>
          <w:sz w:val="23"/>
          <w:szCs w:val="23"/>
        </w:rPr>
        <w:t xml:space="preserve"> MANTENER EL PRODUCTO ENTRE +2ºC y +8ºC</w:t>
      </w:r>
    </w:p>
    <w:p w:rsidR="000E535F" w:rsidRDefault="000E535F" w:rsidP="000E535F">
      <w:pPr>
        <w:numPr>
          <w:ilvl w:val="1"/>
          <w:numId w:val="15"/>
        </w:numPr>
        <w:autoSpaceDE w:val="0"/>
        <w:spacing w:after="0" w:line="240" w:lineRule="auto"/>
        <w:jc w:val="both"/>
        <w:rPr>
          <w:rFonts w:ascii="Arial" w:hAnsi="Arial" w:cs="Arial"/>
          <w:b/>
          <w:bCs/>
          <w:sz w:val="23"/>
          <w:szCs w:val="23"/>
        </w:rPr>
      </w:pPr>
      <w:r>
        <w:rPr>
          <w:rFonts w:ascii="Arial" w:hAnsi="Arial" w:cs="Arial"/>
          <w:sz w:val="23"/>
          <w:szCs w:val="23"/>
        </w:rPr>
        <w:t xml:space="preserve">Si aparece coloreada </w:t>
      </w:r>
      <w:r>
        <w:rPr>
          <w:rFonts w:ascii="Arial" w:hAnsi="Arial" w:cs="Arial"/>
          <w:bCs/>
          <w:sz w:val="23"/>
          <w:szCs w:val="23"/>
        </w:rPr>
        <w:t xml:space="preserve">toda </w:t>
      </w:r>
      <w:r>
        <w:rPr>
          <w:rFonts w:ascii="Arial" w:hAnsi="Arial" w:cs="Arial"/>
          <w:sz w:val="23"/>
          <w:szCs w:val="23"/>
        </w:rPr>
        <w:t xml:space="preserve">la ventanilla número 1, </w:t>
      </w:r>
      <w:r>
        <w:rPr>
          <w:rFonts w:ascii="Arial" w:hAnsi="Arial" w:cs="Arial"/>
          <w:b/>
          <w:sz w:val="23"/>
          <w:szCs w:val="23"/>
        </w:rPr>
        <w:t>mantenga el producto en cuarentena entre +2 y +8ºC y contacte con SEQIRUS</w:t>
      </w:r>
      <w:r>
        <w:rPr>
          <w:rFonts w:ascii="Arial" w:hAnsi="Arial" w:cs="Arial"/>
          <w:sz w:val="23"/>
          <w:szCs w:val="23"/>
        </w:rPr>
        <w:t xml:space="preserve"> (ver datos en pie de página).</w:t>
      </w:r>
    </w:p>
    <w:p w:rsidR="000E535F" w:rsidRDefault="000E535F" w:rsidP="000E535F">
      <w:pPr>
        <w:autoSpaceDE w:val="0"/>
        <w:spacing w:after="0" w:line="240" w:lineRule="auto"/>
        <w:rPr>
          <w:rFonts w:ascii="Arial" w:hAnsi="Arial" w:cs="Arial"/>
          <w:b/>
          <w:bCs/>
          <w:sz w:val="23"/>
          <w:szCs w:val="23"/>
        </w:rPr>
      </w:pPr>
    </w:p>
    <w:p w:rsidR="000E535F" w:rsidRDefault="000E535F" w:rsidP="000E535F">
      <w:pPr>
        <w:numPr>
          <w:ilvl w:val="0"/>
          <w:numId w:val="15"/>
        </w:numPr>
        <w:autoSpaceDE w:val="0"/>
        <w:spacing w:after="0" w:line="240" w:lineRule="auto"/>
        <w:jc w:val="both"/>
        <w:rPr>
          <w:rFonts w:ascii="Arial" w:hAnsi="Arial" w:cs="Arial"/>
          <w:bCs/>
          <w:sz w:val="23"/>
          <w:szCs w:val="23"/>
        </w:rPr>
      </w:pPr>
      <w:r>
        <w:rPr>
          <w:rFonts w:ascii="Arial" w:hAnsi="Arial" w:cs="Arial"/>
          <w:b/>
          <w:bCs/>
          <w:sz w:val="23"/>
          <w:szCs w:val="23"/>
        </w:rPr>
        <w:t xml:space="preserve">Monitor de control temperatura congelación </w:t>
      </w:r>
      <w:r>
        <w:rPr>
          <w:rFonts w:ascii="Arial" w:hAnsi="Arial" w:cs="Arial"/>
          <w:b/>
          <w:bCs/>
          <w:i/>
          <w:iCs/>
          <w:sz w:val="23"/>
          <w:szCs w:val="23"/>
        </w:rPr>
        <w:t xml:space="preserve">FreezeAlert </w:t>
      </w:r>
    </w:p>
    <w:p w:rsidR="000E535F" w:rsidRDefault="000E535F" w:rsidP="000E535F">
      <w:pPr>
        <w:numPr>
          <w:ilvl w:val="1"/>
          <w:numId w:val="15"/>
        </w:numPr>
        <w:autoSpaceDE w:val="0"/>
        <w:spacing w:after="0" w:line="240" w:lineRule="auto"/>
        <w:jc w:val="both"/>
        <w:rPr>
          <w:rFonts w:ascii="Arial" w:hAnsi="Arial" w:cs="Arial"/>
          <w:b/>
          <w:bCs/>
        </w:rPr>
      </w:pPr>
      <w:r>
        <w:rPr>
          <w:rFonts w:ascii="Arial" w:hAnsi="Arial" w:cs="Arial"/>
          <w:bCs/>
          <w:sz w:val="23"/>
          <w:szCs w:val="23"/>
        </w:rPr>
        <w:t>Si en la pantalla aparece el símbolo de alarma,</w:t>
      </w:r>
      <w:r>
        <w:rPr>
          <w:rFonts w:ascii="Arial" w:hAnsi="Arial" w:cs="Arial"/>
          <w:b/>
          <w:bCs/>
          <w:sz w:val="23"/>
          <w:szCs w:val="23"/>
        </w:rPr>
        <w:t xml:space="preserve"> m</w:t>
      </w:r>
      <w:r>
        <w:rPr>
          <w:rFonts w:ascii="Arial" w:hAnsi="Arial" w:cs="Arial"/>
          <w:b/>
          <w:sz w:val="23"/>
          <w:szCs w:val="23"/>
        </w:rPr>
        <w:t>antenga el producto en cuarentena entre +2 y +8ºC y contacte con SEQIRUS</w:t>
      </w:r>
      <w:r>
        <w:rPr>
          <w:rFonts w:ascii="Arial" w:hAnsi="Arial" w:cs="Arial"/>
          <w:sz w:val="23"/>
          <w:szCs w:val="23"/>
        </w:rPr>
        <w:t xml:space="preserve"> (ver datos en pie de página)</w:t>
      </w:r>
    </w:p>
    <w:p w:rsidR="000E535F" w:rsidRDefault="000E535F" w:rsidP="000E535F">
      <w:pPr>
        <w:autoSpaceDE w:val="0"/>
        <w:spacing w:after="0" w:line="240" w:lineRule="auto"/>
        <w:jc w:val="center"/>
        <w:rPr>
          <w:rFonts w:ascii="Arial" w:hAnsi="Arial" w:cs="Arial"/>
          <w:b/>
          <w:bCs/>
        </w:rPr>
      </w:pPr>
    </w:p>
    <w:p w:rsidR="00886B19" w:rsidRPr="004854FC" w:rsidRDefault="000E535F" w:rsidP="000E535F">
      <w:pPr>
        <w:pStyle w:val="WW-Default"/>
        <w:rPr>
          <w:b/>
          <w:color w:val="auto"/>
        </w:rPr>
      </w:pPr>
      <w:r w:rsidRPr="00C03CD5">
        <w:rPr>
          <w:rStyle w:val="nfasissutil"/>
        </w:rPr>
        <w:t>NOTA: Estos indicadores se utilizan únicamente para el transporte con lo que cualquier lectura posterior a la entrega del transportista no es válida.</w:t>
      </w:r>
    </w:p>
    <w:p w:rsidR="00DD7D70" w:rsidRDefault="00DD7D70" w:rsidP="004854FC">
      <w:pPr>
        <w:pStyle w:val="WW-Default"/>
        <w:rPr>
          <w:b/>
        </w:rPr>
      </w:pPr>
    </w:p>
    <w:p w:rsidR="00672862" w:rsidRDefault="00672862" w:rsidP="004854FC">
      <w:pPr>
        <w:pStyle w:val="WW-Default"/>
        <w:rPr>
          <w:b/>
        </w:rPr>
      </w:pPr>
      <w:bookmarkStart w:id="4" w:name="_GoBack"/>
      <w:bookmarkEnd w:id="4"/>
    </w:p>
    <w:sectPr w:rsidR="00672862" w:rsidSect="004B2916">
      <w:footerReference w:type="default" r:id="rId42"/>
      <w:pgSz w:w="11906" w:h="16838"/>
      <w:pgMar w:top="720" w:right="720" w:bottom="720" w:left="720" w:header="720" w:footer="708"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35F" w:rsidRDefault="000E535F">
      <w:pPr>
        <w:spacing w:after="0" w:line="240" w:lineRule="auto"/>
      </w:pPr>
      <w:r>
        <w:separator/>
      </w:r>
    </w:p>
  </w:endnote>
  <w:endnote w:type="continuationSeparator" w:id="0">
    <w:p w:rsidR="000E535F" w:rsidRDefault="000E5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OpenSymbol">
    <w:altName w:val="Arial Unicode MS"/>
    <w:panose1 w:val="05010000000000000000"/>
    <w:charset w:val="80"/>
    <w:family w:val="auto"/>
    <w:pitch w:val="default"/>
  </w:font>
  <w:font w:name="Calibri">
    <w:panose1 w:val="020F0502020204030204"/>
    <w:charset w:val="00"/>
    <w:family w:val="swiss"/>
    <w:pitch w:val="variable"/>
    <w:sig w:usb0="E0002AFF" w:usb1="C000247B" w:usb2="00000009" w:usb3="00000000" w:csb0="000001FF" w:csb1="00000000"/>
  </w:font>
  <w:font w:name="CenturyGothic">
    <w:altName w:val="Bold"/>
    <w:charset w:val="80"/>
    <w:family w:val="auto"/>
    <w:pitch w:val="default"/>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ArialNarrow">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35F" w:rsidRDefault="000E535F">
    <w:pPr>
      <w:pStyle w:val="Piedepgina"/>
      <w:jc w:val="right"/>
    </w:pPr>
    <w:r>
      <w:rPr>
        <w:rFonts w:ascii="Calibri Light" w:hAnsi="Calibri Light" w:cs="Calibri Light"/>
        <w:color w:val="00B050"/>
      </w:rPr>
      <w:t>Vacunación antigripal 2018-19</w:t>
    </w:r>
    <w:r>
      <w:rPr>
        <w:rFonts w:ascii="Calibri Light" w:hAnsi="Calibri Light" w:cs="Calibri Light"/>
        <w:color w:val="92D050"/>
      </w:rPr>
      <w:t xml:space="preserve"> </w:t>
    </w:r>
    <w:r>
      <w:rPr>
        <w:rFonts w:ascii="Calibri Light" w:hAnsi="Calibri Light" w:cs="Calibri Light"/>
      </w:rPr>
      <w:t xml:space="preserve">/ </w:t>
    </w:r>
    <w:r>
      <w:fldChar w:fldCharType="begin"/>
    </w:r>
    <w:r>
      <w:instrText xml:space="preserve"> PAGE </w:instrText>
    </w:r>
    <w:r>
      <w:fldChar w:fldCharType="separate"/>
    </w:r>
    <w:r w:rsidR="00A630F7">
      <w:rPr>
        <w:noProof/>
      </w:rPr>
      <w:t>45</w:t>
    </w:r>
    <w:r>
      <w:fldChar w:fldCharType="end"/>
    </w:r>
  </w:p>
  <w:p w:rsidR="000E535F" w:rsidRDefault="000E53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35F" w:rsidRDefault="000E535F">
      <w:pPr>
        <w:spacing w:after="0" w:line="240" w:lineRule="auto"/>
      </w:pPr>
      <w:r>
        <w:separator/>
      </w:r>
    </w:p>
  </w:footnote>
  <w:footnote w:type="continuationSeparator" w:id="0">
    <w:p w:rsidR="000E535F" w:rsidRDefault="000E53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Wingdings" w:hAnsi="Wingdings" w:cs="Wingdings" w:hint="default"/>
        <w:color w:val="1F3864"/>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color w:val="00000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068"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color w:val="000000"/>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hint="default"/>
        <w:sz w:val="23"/>
        <w:szCs w:val="23"/>
      </w:rPr>
    </w:lvl>
    <w:lvl w:ilvl="1">
      <w:start w:val="1"/>
      <w:numFmt w:val="bullet"/>
      <w:lvlText w:val="o"/>
      <w:lvlJc w:val="left"/>
      <w:pPr>
        <w:tabs>
          <w:tab w:val="num" w:pos="0"/>
        </w:tabs>
        <w:ind w:left="1440" w:hanging="360"/>
      </w:pPr>
      <w:rPr>
        <w:rFonts w:ascii="Courier New" w:hAnsi="Courier New" w:cs="Courier New" w:hint="default"/>
        <w:sz w:val="23"/>
        <w:szCs w:val="23"/>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23"/>
        <w:szCs w:val="23"/>
      </w:rPr>
    </w:lvl>
    <w:lvl w:ilvl="4">
      <w:start w:val="1"/>
      <w:numFmt w:val="bullet"/>
      <w:lvlText w:val="o"/>
      <w:lvlJc w:val="left"/>
      <w:pPr>
        <w:tabs>
          <w:tab w:val="num" w:pos="0"/>
        </w:tabs>
        <w:ind w:left="3600" w:hanging="360"/>
      </w:pPr>
      <w:rPr>
        <w:rFonts w:ascii="Courier New" w:hAnsi="Courier New" w:cs="Courier New" w:hint="default"/>
        <w:sz w:val="23"/>
        <w:szCs w:val="23"/>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23"/>
        <w:szCs w:val="23"/>
      </w:rPr>
    </w:lvl>
    <w:lvl w:ilvl="7">
      <w:start w:val="1"/>
      <w:numFmt w:val="bullet"/>
      <w:lvlText w:val="o"/>
      <w:lvlJc w:val="left"/>
      <w:pPr>
        <w:tabs>
          <w:tab w:val="num" w:pos="0"/>
        </w:tabs>
        <w:ind w:left="5760" w:hanging="360"/>
      </w:pPr>
      <w:rPr>
        <w:rFonts w:ascii="Courier New" w:hAnsi="Courier New" w:cs="Courier New" w:hint="default"/>
        <w:sz w:val="23"/>
        <w:szCs w:val="23"/>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hint="default"/>
        <w:color w:val="1F3864"/>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color w:val="000000"/>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9" w15:restartNumberingAfterBreak="0">
    <w:nsid w:val="00000014"/>
    <w:multiLevelType w:val="singleLevel"/>
    <w:tmpl w:val="00000014"/>
    <w:name w:val="WW8Num20"/>
    <w:lvl w:ilvl="0">
      <w:start w:val="2"/>
      <w:numFmt w:val="bullet"/>
      <w:lvlText w:val="-"/>
      <w:lvlJc w:val="left"/>
      <w:pPr>
        <w:tabs>
          <w:tab w:val="num" w:pos="720"/>
        </w:tabs>
        <w:ind w:left="720" w:hanging="360"/>
      </w:pPr>
      <w:rPr>
        <w:rFonts w:ascii="Century Gothic" w:hAnsi="Century Gothic" w:cs="Arial" w:hint="default"/>
        <w:sz w:val="20"/>
        <w:szCs w:val="20"/>
        <w:shd w:val="clear" w:color="auto" w:fill="FFFF00"/>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hint="default"/>
        <w:dstrike/>
        <w:color w:val="000000"/>
        <w:shd w:val="clear" w:color="auto" w:fill="FFFF00"/>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1068" w:hanging="360"/>
      </w:pPr>
      <w:rPr>
        <w:rFonts w:ascii="Symbol" w:hAnsi="Symbol" w:cs="Symbol" w:hint="default"/>
      </w:r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22"/>
        <w:szCs w:val="22"/>
      </w:rPr>
    </w:lvl>
  </w:abstractNum>
  <w:abstractNum w:abstractNumId="2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hint="default"/>
      </w:rPr>
    </w:lvl>
  </w:abstractNum>
  <w:abstractNum w:abstractNumId="24"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cs="Symbol" w:hint="default"/>
        <w:shd w:val="clear" w:color="auto" w:fill="FFFF00"/>
      </w:rPr>
    </w:lvl>
  </w:abstractNum>
  <w:abstractNum w:abstractNumId="25" w15:restartNumberingAfterBreak="0">
    <w:nsid w:val="0000001A"/>
    <w:multiLevelType w:val="singleLevel"/>
    <w:tmpl w:val="0000001A"/>
    <w:name w:val="WW8Num26"/>
    <w:lvl w:ilvl="0">
      <w:start w:val="1"/>
      <w:numFmt w:val="bullet"/>
      <w:lvlText w:val=""/>
      <w:lvlJc w:val="left"/>
      <w:pPr>
        <w:tabs>
          <w:tab w:val="num" w:pos="0"/>
        </w:tabs>
        <w:ind w:left="1068" w:hanging="360"/>
      </w:pPr>
      <w:rPr>
        <w:rFonts w:ascii="Symbol" w:hAnsi="Symbol" w:cs="Symbol" w:hint="default"/>
        <w:color w:val="1F3864"/>
      </w:rPr>
    </w:lvl>
  </w:abstractNum>
  <w:abstractNum w:abstractNumId="26"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hint="default"/>
      </w:rPr>
    </w:lvl>
  </w:abstractNum>
  <w:abstractNum w:abstractNumId="27"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rPr>
    </w:lvl>
  </w:abstractNum>
  <w:abstractNum w:abstractNumId="28"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sz w:val="20"/>
        <w:szCs w:val="20"/>
      </w:rPr>
    </w:lvl>
  </w:abstractNum>
  <w:abstractNum w:abstractNumId="29" w15:restartNumberingAfterBreak="0">
    <w:nsid w:val="0000001E"/>
    <w:multiLevelType w:val="singleLevel"/>
    <w:tmpl w:val="0000001E"/>
    <w:name w:val="WW8Num30"/>
    <w:lvl w:ilvl="0">
      <w:start w:val="1"/>
      <w:numFmt w:val="bullet"/>
      <w:lvlText w:val=""/>
      <w:lvlJc w:val="left"/>
      <w:pPr>
        <w:tabs>
          <w:tab w:val="num" w:pos="0"/>
        </w:tabs>
        <w:ind w:left="720" w:hanging="360"/>
      </w:pPr>
      <w:rPr>
        <w:rFonts w:ascii="Wingdings" w:hAnsi="Wingdings" w:cs="Wingdings" w:hint="default"/>
        <w:color w:val="1F3864"/>
      </w:rPr>
    </w:lvl>
  </w:abstractNum>
  <w:abstractNum w:abstractNumId="30" w15:restartNumberingAfterBreak="0">
    <w:nsid w:val="0000001F"/>
    <w:multiLevelType w:val="multilevel"/>
    <w:tmpl w:val="9FCCF16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15:restartNumberingAfterBreak="0">
    <w:nsid w:val="00000020"/>
    <w:multiLevelType w:val="multilevel"/>
    <w:tmpl w:val="000000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2" w15:restartNumberingAfterBreak="0">
    <w:nsid w:val="2763294F"/>
    <w:multiLevelType w:val="hybridMultilevel"/>
    <w:tmpl w:val="26EC7FF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291428A4"/>
    <w:multiLevelType w:val="hybridMultilevel"/>
    <w:tmpl w:val="8A6A7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3090C12"/>
    <w:multiLevelType w:val="multilevel"/>
    <w:tmpl w:val="81D8D116"/>
    <w:lvl w:ilvl="0">
      <w:start w:val="2"/>
      <w:numFmt w:val="decimal"/>
      <w:lvlText w:val="%1."/>
      <w:lvlJc w:val="left"/>
      <w:pPr>
        <w:ind w:left="540" w:hanging="54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5" w15:restartNumberingAfterBreak="0">
    <w:nsid w:val="39582EB8"/>
    <w:multiLevelType w:val="hybridMultilevel"/>
    <w:tmpl w:val="6ADE3B0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DC97EE2"/>
    <w:multiLevelType w:val="hybridMultilevel"/>
    <w:tmpl w:val="43CEC52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 w15:restartNumberingAfterBreak="0">
    <w:nsid w:val="4DCC412F"/>
    <w:multiLevelType w:val="multilevel"/>
    <w:tmpl w:val="E7265C64"/>
    <w:lvl w:ilvl="0">
      <w:start w:val="2"/>
      <w:numFmt w:val="decimal"/>
      <w:lvlText w:val="%1."/>
      <w:lvlJc w:val="left"/>
      <w:pPr>
        <w:ind w:left="540" w:hanging="54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5B842169"/>
    <w:multiLevelType w:val="hybridMultilevel"/>
    <w:tmpl w:val="385201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75D40560"/>
    <w:multiLevelType w:val="hybridMultilevel"/>
    <w:tmpl w:val="EA56A2D2"/>
    <w:lvl w:ilvl="0" w:tplc="00EA70B8">
      <w:start w:val="1"/>
      <w:numFmt w:val="bullet"/>
      <w:lvlText w:val="•"/>
      <w:lvlJc w:val="left"/>
      <w:pPr>
        <w:tabs>
          <w:tab w:val="num" w:pos="720"/>
        </w:tabs>
        <w:ind w:left="720" w:hanging="360"/>
      </w:pPr>
      <w:rPr>
        <w:rFonts w:ascii="Arial" w:hAnsi="Arial" w:hint="default"/>
      </w:rPr>
    </w:lvl>
    <w:lvl w:ilvl="1" w:tplc="B240DAE6">
      <w:start w:val="1"/>
      <w:numFmt w:val="bullet"/>
      <w:lvlText w:val="•"/>
      <w:lvlJc w:val="left"/>
      <w:pPr>
        <w:tabs>
          <w:tab w:val="num" w:pos="1440"/>
        </w:tabs>
        <w:ind w:left="1440" w:hanging="360"/>
      </w:pPr>
      <w:rPr>
        <w:rFonts w:ascii="Arial" w:hAnsi="Arial" w:hint="default"/>
      </w:rPr>
    </w:lvl>
    <w:lvl w:ilvl="2" w:tplc="2BCEDBA2" w:tentative="1">
      <w:start w:val="1"/>
      <w:numFmt w:val="bullet"/>
      <w:lvlText w:val="•"/>
      <w:lvlJc w:val="left"/>
      <w:pPr>
        <w:tabs>
          <w:tab w:val="num" w:pos="2160"/>
        </w:tabs>
        <w:ind w:left="2160" w:hanging="360"/>
      </w:pPr>
      <w:rPr>
        <w:rFonts w:ascii="Arial" w:hAnsi="Arial" w:hint="default"/>
      </w:rPr>
    </w:lvl>
    <w:lvl w:ilvl="3" w:tplc="711A5324" w:tentative="1">
      <w:start w:val="1"/>
      <w:numFmt w:val="bullet"/>
      <w:lvlText w:val="•"/>
      <w:lvlJc w:val="left"/>
      <w:pPr>
        <w:tabs>
          <w:tab w:val="num" w:pos="2880"/>
        </w:tabs>
        <w:ind w:left="2880" w:hanging="360"/>
      </w:pPr>
      <w:rPr>
        <w:rFonts w:ascii="Arial" w:hAnsi="Arial" w:hint="default"/>
      </w:rPr>
    </w:lvl>
    <w:lvl w:ilvl="4" w:tplc="0100BF12" w:tentative="1">
      <w:start w:val="1"/>
      <w:numFmt w:val="bullet"/>
      <w:lvlText w:val="•"/>
      <w:lvlJc w:val="left"/>
      <w:pPr>
        <w:tabs>
          <w:tab w:val="num" w:pos="3600"/>
        </w:tabs>
        <w:ind w:left="3600" w:hanging="360"/>
      </w:pPr>
      <w:rPr>
        <w:rFonts w:ascii="Arial" w:hAnsi="Arial" w:hint="default"/>
      </w:rPr>
    </w:lvl>
    <w:lvl w:ilvl="5" w:tplc="99EA3832" w:tentative="1">
      <w:start w:val="1"/>
      <w:numFmt w:val="bullet"/>
      <w:lvlText w:val="•"/>
      <w:lvlJc w:val="left"/>
      <w:pPr>
        <w:tabs>
          <w:tab w:val="num" w:pos="4320"/>
        </w:tabs>
        <w:ind w:left="4320" w:hanging="360"/>
      </w:pPr>
      <w:rPr>
        <w:rFonts w:ascii="Arial" w:hAnsi="Arial" w:hint="default"/>
      </w:rPr>
    </w:lvl>
    <w:lvl w:ilvl="6" w:tplc="430A5586" w:tentative="1">
      <w:start w:val="1"/>
      <w:numFmt w:val="bullet"/>
      <w:lvlText w:val="•"/>
      <w:lvlJc w:val="left"/>
      <w:pPr>
        <w:tabs>
          <w:tab w:val="num" w:pos="5040"/>
        </w:tabs>
        <w:ind w:left="5040" w:hanging="360"/>
      </w:pPr>
      <w:rPr>
        <w:rFonts w:ascii="Arial" w:hAnsi="Arial" w:hint="default"/>
      </w:rPr>
    </w:lvl>
    <w:lvl w:ilvl="7" w:tplc="7A326FC8" w:tentative="1">
      <w:start w:val="1"/>
      <w:numFmt w:val="bullet"/>
      <w:lvlText w:val="•"/>
      <w:lvlJc w:val="left"/>
      <w:pPr>
        <w:tabs>
          <w:tab w:val="num" w:pos="5760"/>
        </w:tabs>
        <w:ind w:left="5760" w:hanging="360"/>
      </w:pPr>
      <w:rPr>
        <w:rFonts w:ascii="Arial" w:hAnsi="Arial" w:hint="default"/>
      </w:rPr>
    </w:lvl>
    <w:lvl w:ilvl="8" w:tplc="DBD40A2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76231A5"/>
    <w:multiLevelType w:val="multilevel"/>
    <w:tmpl w:val="8BC81476"/>
    <w:lvl w:ilvl="0">
      <w:start w:val="2"/>
      <w:numFmt w:val="decimal"/>
      <w:lvlText w:val="%1."/>
      <w:lvlJc w:val="left"/>
      <w:pPr>
        <w:ind w:left="540" w:hanging="54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1" w15:restartNumberingAfterBreak="0">
    <w:nsid w:val="7A7D67C9"/>
    <w:multiLevelType w:val="multilevel"/>
    <w:tmpl w:val="C7EC427A"/>
    <w:lvl w:ilvl="0">
      <w:start w:val="2"/>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8"/>
  </w:num>
  <w:num w:numId="34">
    <w:abstractNumId w:val="35"/>
  </w:num>
  <w:num w:numId="35">
    <w:abstractNumId w:val="32"/>
  </w:num>
  <w:num w:numId="36">
    <w:abstractNumId w:val="36"/>
  </w:num>
  <w:num w:numId="37">
    <w:abstractNumId w:val="39"/>
  </w:num>
  <w:num w:numId="38">
    <w:abstractNumId w:val="33"/>
  </w:num>
  <w:num w:numId="39">
    <w:abstractNumId w:val="37"/>
  </w:num>
  <w:num w:numId="40">
    <w:abstractNumId w:val="34"/>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916"/>
    <w:rsid w:val="00004D90"/>
    <w:rsid w:val="000E535F"/>
    <w:rsid w:val="001F7B34"/>
    <w:rsid w:val="00216BE9"/>
    <w:rsid w:val="0022009A"/>
    <w:rsid w:val="002846E1"/>
    <w:rsid w:val="00297454"/>
    <w:rsid w:val="002B22BA"/>
    <w:rsid w:val="002F6659"/>
    <w:rsid w:val="00301A41"/>
    <w:rsid w:val="003315BD"/>
    <w:rsid w:val="0033174D"/>
    <w:rsid w:val="003D612F"/>
    <w:rsid w:val="003F3B93"/>
    <w:rsid w:val="004175AC"/>
    <w:rsid w:val="00472371"/>
    <w:rsid w:val="00482523"/>
    <w:rsid w:val="004854FC"/>
    <w:rsid w:val="004B2916"/>
    <w:rsid w:val="005622BA"/>
    <w:rsid w:val="00592717"/>
    <w:rsid w:val="00593AC4"/>
    <w:rsid w:val="005A3600"/>
    <w:rsid w:val="00614F58"/>
    <w:rsid w:val="00626F1A"/>
    <w:rsid w:val="00657D84"/>
    <w:rsid w:val="00672862"/>
    <w:rsid w:val="00773D0E"/>
    <w:rsid w:val="007D239E"/>
    <w:rsid w:val="00806809"/>
    <w:rsid w:val="0081013B"/>
    <w:rsid w:val="00886B19"/>
    <w:rsid w:val="008D69CD"/>
    <w:rsid w:val="008F3135"/>
    <w:rsid w:val="00911E94"/>
    <w:rsid w:val="009A6FDB"/>
    <w:rsid w:val="00A21965"/>
    <w:rsid w:val="00A630F7"/>
    <w:rsid w:val="00A856F4"/>
    <w:rsid w:val="00AA05EA"/>
    <w:rsid w:val="00AB1796"/>
    <w:rsid w:val="00AD2273"/>
    <w:rsid w:val="00AF3C96"/>
    <w:rsid w:val="00B02921"/>
    <w:rsid w:val="00B61453"/>
    <w:rsid w:val="00B90F36"/>
    <w:rsid w:val="00BA57D1"/>
    <w:rsid w:val="00BC4987"/>
    <w:rsid w:val="00BE5C6D"/>
    <w:rsid w:val="00C03CD5"/>
    <w:rsid w:val="00C31BEF"/>
    <w:rsid w:val="00C35FD1"/>
    <w:rsid w:val="00C61A27"/>
    <w:rsid w:val="00CA5A64"/>
    <w:rsid w:val="00CC26AC"/>
    <w:rsid w:val="00CC29FA"/>
    <w:rsid w:val="00CF2F2E"/>
    <w:rsid w:val="00D22CE3"/>
    <w:rsid w:val="00D3084F"/>
    <w:rsid w:val="00D36E23"/>
    <w:rsid w:val="00DA7A37"/>
    <w:rsid w:val="00DD7D70"/>
    <w:rsid w:val="00E261FA"/>
    <w:rsid w:val="00E3295D"/>
    <w:rsid w:val="00E60EC4"/>
    <w:rsid w:val="00E8124E"/>
    <w:rsid w:val="00EA0917"/>
    <w:rsid w:val="00EC3F2D"/>
    <w:rsid w:val="00F4741F"/>
    <w:rsid w:val="00F56984"/>
    <w:rsid w:val="00FB4932"/>
    <w:rsid w:val="00FB7F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10539C65"/>
  <w15:chartTrackingRefBased/>
  <w15:docId w15:val="{7E8CCC5E-61DA-41B2-8E6A-DB33EAF8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BEF"/>
    <w:pPr>
      <w:suppressAutoHyphens/>
      <w:spacing w:after="160" w:line="256" w:lineRule="auto"/>
    </w:pPr>
    <w:rPr>
      <w:rFonts w:ascii="Calibri" w:eastAsia="Calibri" w:hAnsi="Calibri"/>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Wingdings" w:eastAsia="CenturyGothic" w:hAnsi="Wingdings" w:cs="Wingdings" w:hint="default"/>
      <w:color w:val="1F3864"/>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rPr>
      <w:rFonts w:ascii="Symbol" w:eastAsia="CenturyGothic" w:hAnsi="Symbol" w:cs="Symbol" w:hint="default"/>
      <w:color w:val="00000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ascii="Symbol" w:eastAsia="CenturyGothic" w:hAnsi="Symbol" w:cs="Symbol" w:hint="default"/>
      <w:color w:val="000000"/>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eastAsia="CenturyGothic"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eastAsia="CenturyGothic" w:hAnsi="Symbol" w:cs="Symbol" w:hint="default"/>
      <w:color w:val="00000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sz w:val="23"/>
      <w:szCs w:val="23"/>
    </w:rPr>
  </w:style>
  <w:style w:type="character" w:customStyle="1" w:styleId="WW8Num15z1">
    <w:name w:val="WW8Num15z1"/>
    <w:rPr>
      <w:rFonts w:ascii="Courier New" w:hAnsi="Courier New" w:cs="Courier New" w:hint="default"/>
      <w:sz w:val="23"/>
      <w:szCs w:val="23"/>
    </w:rPr>
  </w:style>
  <w:style w:type="character" w:customStyle="1" w:styleId="WW8Num15z2">
    <w:name w:val="WW8Num15z2"/>
    <w:rPr>
      <w:rFonts w:ascii="Wingdings" w:hAnsi="Wingdings" w:cs="Wingdings" w:hint="default"/>
    </w:rPr>
  </w:style>
  <w:style w:type="character" w:customStyle="1" w:styleId="WW8Num16z0">
    <w:name w:val="WW8Num16z0"/>
    <w:rPr>
      <w:rFonts w:ascii="Symbol" w:eastAsia="CenturyGothic" w:hAnsi="Symbol" w:cs="Symbol" w:hint="default"/>
      <w:color w:val="1F3864"/>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eastAsia="CenturyGothic" w:hAnsi="Symbol" w:cs="Symbol" w:hint="default"/>
      <w:color w:val="00000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Century Gothic" w:eastAsia="Times New Roman" w:hAnsi="Century Gothic" w:cs="Arial" w:hint="default"/>
      <w:sz w:val="20"/>
      <w:szCs w:val="20"/>
      <w:shd w:val="clear" w:color="auto" w:fill="FFFF0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Symbol" w:eastAsia="CenturyGothic" w:hAnsi="Symbol" w:cs="Symbol" w:hint="default"/>
      <w:dstrike/>
      <w:color w:val="000000"/>
      <w:shd w:val="clear" w:color="auto" w:fill="FFFF00"/>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Symbol" w:hAnsi="Symbol" w:cs="Symbol" w:hint="default"/>
      <w:sz w:val="22"/>
      <w:szCs w:val="22"/>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ascii="Symbol" w:hAnsi="Symbol" w:cs="Symbol" w:hint="default"/>
      <w:shd w:val="clear" w:color="auto" w:fill="FFFF00"/>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eastAsia="CenturyGothic" w:hAnsi="Symbol" w:cs="Symbol" w:hint="default"/>
      <w:color w:val="1F3864"/>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eastAsia="CenturyGothic" w:hAnsi="Symbol" w:cs="Symbol" w:hint="default"/>
    </w:rPr>
  </w:style>
  <w:style w:type="character" w:customStyle="1" w:styleId="WW8Num27z1">
    <w:name w:val="WW8Num27z1"/>
    <w:rPr>
      <w:rFonts w:ascii="Arial" w:eastAsia="CenturyGothic" w:hAnsi="Arial" w:cs="Arial" w:hint="default"/>
    </w:rPr>
  </w:style>
  <w:style w:type="character" w:customStyle="1" w:styleId="WW8Num27z2">
    <w:name w:val="WW8Num27z2"/>
    <w:rPr>
      <w:rFonts w:ascii="Wingdings" w:hAnsi="Wingdings" w:cs="Wingdings" w:hint="default"/>
    </w:rPr>
  </w:style>
  <w:style w:type="character" w:customStyle="1" w:styleId="WW8Num27z4">
    <w:name w:val="WW8Num27z4"/>
    <w:rPr>
      <w:rFonts w:ascii="Courier New" w:hAnsi="Courier New" w:cs="Courier New"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sz w:val="20"/>
      <w:szCs w:val="2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ascii="Wingdings" w:eastAsia="CenturyGothic" w:hAnsi="Wingdings" w:cs="Wingdings" w:hint="default"/>
      <w:color w:val="1F3864"/>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Fuentedeprrafopredeter1">
    <w:name w:val="Fuente de párrafo predeter.1"/>
  </w:style>
  <w:style w:type="character" w:styleId="Hipervnculo">
    <w:name w:val="Hyperlink"/>
    <w:rPr>
      <w:color w:val="0563C1"/>
      <w:u w:val="single"/>
    </w:rPr>
  </w:style>
  <w:style w:type="character" w:customStyle="1" w:styleId="TextodegloboCar">
    <w:name w:val="Texto de globo Car"/>
    <w:rPr>
      <w:rFonts w:ascii="Segoe UI" w:hAnsi="Segoe UI" w:cs="Segoe UI"/>
      <w:sz w:val="18"/>
      <w:szCs w:val="18"/>
    </w:rPr>
  </w:style>
  <w:style w:type="character" w:customStyle="1" w:styleId="EncabezadoCar">
    <w:name w:val="Encabezado Car"/>
    <w:rPr>
      <w:sz w:val="22"/>
      <w:szCs w:val="22"/>
    </w:rPr>
  </w:style>
  <w:style w:type="character" w:customStyle="1" w:styleId="PiedepginaCar">
    <w:name w:val="Pie de página Car"/>
    <w:rPr>
      <w:sz w:val="22"/>
      <w:szCs w:val="22"/>
    </w:rPr>
  </w:style>
  <w:style w:type="character" w:customStyle="1" w:styleId="Bullets">
    <w:name w:val="Bullets"/>
    <w:rPr>
      <w:rFonts w:ascii="OpenSymbol" w:eastAsia="OpenSymbol" w:hAnsi="OpenSymbol" w:cs="OpenSymbol"/>
    </w:rPr>
  </w:style>
  <w:style w:type="paragraph" w:customStyle="1" w:styleId="Heading">
    <w:name w:val="Heading"/>
    <w:basedOn w:val="Normal"/>
    <w:next w:val="Textoindependiente"/>
    <w:pPr>
      <w:keepNext/>
      <w:spacing w:before="240" w:after="120"/>
    </w:pPr>
    <w:rPr>
      <w:rFonts w:ascii="Arial" w:eastAsia="Microsoft YaHei" w:hAnsi="Arial" w:cs="Arial"/>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Arial"/>
    </w:rPr>
  </w:style>
  <w:style w:type="paragraph" w:customStyle="1" w:styleId="Descripcin1">
    <w:name w:val="Descripción1"/>
    <w:basedOn w:val="Normal"/>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styleId="Textodeglobo">
    <w:name w:val="Balloon Text"/>
    <w:basedOn w:val="Normal"/>
    <w:link w:val="TextodegloboCar1"/>
    <w:pPr>
      <w:spacing w:after="0" w:line="240" w:lineRule="auto"/>
    </w:pPr>
    <w:rPr>
      <w:rFonts w:ascii="Segoe UI" w:hAnsi="Segoe UI" w:cs="Segoe UI"/>
      <w:sz w:val="18"/>
      <w:szCs w:val="18"/>
    </w:rPr>
  </w:style>
  <w:style w:type="paragraph" w:customStyle="1" w:styleId="WW-Default">
    <w:name w:val="WW-Default"/>
    <w:pPr>
      <w:suppressAutoHyphens/>
      <w:autoSpaceDE w:val="0"/>
    </w:pPr>
    <w:rPr>
      <w:rFonts w:eastAsia="Calibri"/>
      <w:color w:val="000000"/>
      <w:sz w:val="24"/>
      <w:szCs w:val="24"/>
      <w:lang w:eastAsia="ar-SA"/>
    </w:rPr>
  </w:style>
  <w:style w:type="paragraph" w:styleId="Encabezado">
    <w:name w:val="header"/>
    <w:basedOn w:val="Normal"/>
    <w:link w:val="EncabezadoCar1"/>
    <w:pPr>
      <w:tabs>
        <w:tab w:val="center" w:pos="4252"/>
        <w:tab w:val="right" w:pos="8504"/>
      </w:tabs>
    </w:pPr>
  </w:style>
  <w:style w:type="paragraph" w:styleId="Piedepgina">
    <w:name w:val="footer"/>
    <w:basedOn w:val="Normal"/>
    <w:link w:val="PiedepginaCar1"/>
    <w:pPr>
      <w:tabs>
        <w:tab w:val="center" w:pos="4252"/>
        <w:tab w:val="right" w:pos="8504"/>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Cita">
    <w:name w:val="Quote"/>
    <w:basedOn w:val="Normal"/>
    <w:next w:val="Normal"/>
    <w:link w:val="CitaCar"/>
    <w:uiPriority w:val="29"/>
    <w:qFormat/>
    <w:rsid w:val="00CC26AC"/>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C26AC"/>
    <w:rPr>
      <w:rFonts w:ascii="Calibri" w:eastAsia="Calibri" w:hAnsi="Calibri"/>
      <w:i/>
      <w:iCs/>
      <w:color w:val="404040" w:themeColor="text1" w:themeTint="BF"/>
      <w:sz w:val="22"/>
      <w:szCs w:val="22"/>
      <w:lang w:eastAsia="ar-SA"/>
    </w:rPr>
  </w:style>
  <w:style w:type="character" w:styleId="Ttulodellibro">
    <w:name w:val="Book Title"/>
    <w:basedOn w:val="Fuentedeprrafopredeter"/>
    <w:uiPriority w:val="33"/>
    <w:qFormat/>
    <w:rsid w:val="00CC26AC"/>
    <w:rPr>
      <w:b/>
      <w:bCs/>
      <w:i/>
      <w:iCs/>
      <w:spacing w:val="5"/>
    </w:rPr>
  </w:style>
  <w:style w:type="character" w:styleId="nfasis">
    <w:name w:val="Emphasis"/>
    <w:basedOn w:val="Fuentedeprrafopredeter"/>
    <w:uiPriority w:val="20"/>
    <w:qFormat/>
    <w:rsid w:val="00CC26AC"/>
    <w:rPr>
      <w:i/>
      <w:iCs/>
    </w:rPr>
  </w:style>
  <w:style w:type="paragraph" w:styleId="Prrafodelista">
    <w:name w:val="List Paragraph"/>
    <w:basedOn w:val="Normal"/>
    <w:uiPriority w:val="34"/>
    <w:qFormat/>
    <w:rsid w:val="00CC26AC"/>
    <w:pPr>
      <w:ind w:left="720"/>
      <w:contextualSpacing/>
    </w:pPr>
  </w:style>
  <w:style w:type="character" w:styleId="nfasissutil">
    <w:name w:val="Subtle Emphasis"/>
    <w:basedOn w:val="Fuentedeprrafopredeter"/>
    <w:uiPriority w:val="19"/>
    <w:qFormat/>
    <w:rsid w:val="00216BE9"/>
    <w:rPr>
      <w:i/>
      <w:iCs/>
      <w:color w:val="404040" w:themeColor="text1" w:themeTint="BF"/>
    </w:rPr>
  </w:style>
  <w:style w:type="character" w:styleId="Textoennegrita">
    <w:name w:val="Strong"/>
    <w:basedOn w:val="Fuentedeprrafopredeter"/>
    <w:uiPriority w:val="22"/>
    <w:qFormat/>
    <w:rsid w:val="00472371"/>
    <w:rPr>
      <w:b/>
      <w:bCs/>
    </w:rPr>
  </w:style>
  <w:style w:type="table" w:styleId="Tablanormal4">
    <w:name w:val="Plain Table 4"/>
    <w:basedOn w:val="Tablanormal"/>
    <w:uiPriority w:val="44"/>
    <w:rsid w:val="00C61A2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72862"/>
    <w:pPr>
      <w:suppressAutoHyphens w:val="0"/>
      <w:spacing w:before="100" w:beforeAutospacing="1" w:after="100" w:afterAutospacing="1" w:line="240" w:lineRule="auto"/>
    </w:pPr>
    <w:rPr>
      <w:rFonts w:ascii="Times New Roman" w:eastAsiaTheme="minorEastAsia" w:hAnsi="Times New Roman"/>
      <w:sz w:val="24"/>
      <w:szCs w:val="24"/>
      <w:lang w:eastAsia="es-ES"/>
    </w:rPr>
  </w:style>
  <w:style w:type="character" w:customStyle="1" w:styleId="TextoindependienteCar">
    <w:name w:val="Texto independiente Car"/>
    <w:basedOn w:val="Fuentedeprrafopredeter"/>
    <w:link w:val="Textoindependiente"/>
    <w:rsid w:val="003315BD"/>
    <w:rPr>
      <w:rFonts w:ascii="Calibri" w:eastAsia="Calibri" w:hAnsi="Calibri"/>
      <w:sz w:val="22"/>
      <w:szCs w:val="22"/>
      <w:lang w:eastAsia="ar-SA"/>
    </w:rPr>
  </w:style>
  <w:style w:type="character" w:customStyle="1" w:styleId="TextodegloboCar1">
    <w:name w:val="Texto de globo Car1"/>
    <w:basedOn w:val="Fuentedeprrafopredeter"/>
    <w:link w:val="Textodeglobo"/>
    <w:rsid w:val="003315BD"/>
    <w:rPr>
      <w:rFonts w:ascii="Segoe UI" w:eastAsia="Calibri" w:hAnsi="Segoe UI" w:cs="Segoe UI"/>
      <w:sz w:val="18"/>
      <w:szCs w:val="18"/>
      <w:lang w:eastAsia="ar-SA"/>
    </w:rPr>
  </w:style>
  <w:style w:type="character" w:customStyle="1" w:styleId="EncabezadoCar1">
    <w:name w:val="Encabezado Car1"/>
    <w:basedOn w:val="Fuentedeprrafopredeter"/>
    <w:link w:val="Encabezado"/>
    <w:rsid w:val="003315BD"/>
    <w:rPr>
      <w:rFonts w:ascii="Calibri" w:eastAsia="Calibri" w:hAnsi="Calibri"/>
      <w:sz w:val="22"/>
      <w:szCs w:val="22"/>
      <w:lang w:eastAsia="ar-SA"/>
    </w:rPr>
  </w:style>
  <w:style w:type="character" w:customStyle="1" w:styleId="PiedepginaCar1">
    <w:name w:val="Pie de página Car1"/>
    <w:basedOn w:val="Fuentedeprrafopredeter"/>
    <w:link w:val="Piedepgina"/>
    <w:rsid w:val="003315BD"/>
    <w:rPr>
      <w:rFonts w:ascii="Calibri" w:eastAsia="Calibri" w:hAnsi="Calibri"/>
      <w:sz w:val="22"/>
      <w:szCs w:val="22"/>
      <w:lang w:eastAsia="ar-SA"/>
    </w:rPr>
  </w:style>
  <w:style w:type="character" w:styleId="Hipervnculovisitado">
    <w:name w:val="FollowedHyperlink"/>
    <w:basedOn w:val="Fuentedeprrafopredeter"/>
    <w:uiPriority w:val="99"/>
    <w:semiHidden/>
    <w:unhideWhenUsed/>
    <w:rsid w:val="003315BD"/>
    <w:rPr>
      <w:color w:val="954F72" w:themeColor="followedHyperlink"/>
      <w:u w:val="single"/>
    </w:rPr>
  </w:style>
  <w:style w:type="paragraph" w:customStyle="1" w:styleId="Default">
    <w:name w:val="Default"/>
    <w:rsid w:val="004854FC"/>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6861">
      <w:bodyDiv w:val="1"/>
      <w:marLeft w:val="0"/>
      <w:marRight w:val="0"/>
      <w:marTop w:val="0"/>
      <w:marBottom w:val="0"/>
      <w:divBdr>
        <w:top w:val="none" w:sz="0" w:space="0" w:color="auto"/>
        <w:left w:val="none" w:sz="0" w:space="0" w:color="auto"/>
        <w:bottom w:val="none" w:sz="0" w:space="0" w:color="auto"/>
        <w:right w:val="none" w:sz="0" w:space="0" w:color="auto"/>
      </w:divBdr>
    </w:div>
    <w:div w:id="603346616">
      <w:bodyDiv w:val="1"/>
      <w:marLeft w:val="0"/>
      <w:marRight w:val="0"/>
      <w:marTop w:val="0"/>
      <w:marBottom w:val="0"/>
      <w:divBdr>
        <w:top w:val="none" w:sz="0" w:space="0" w:color="auto"/>
        <w:left w:val="none" w:sz="0" w:space="0" w:color="auto"/>
        <w:bottom w:val="none" w:sz="0" w:space="0" w:color="auto"/>
        <w:right w:val="none" w:sz="0" w:space="0" w:color="auto"/>
      </w:divBdr>
    </w:div>
    <w:div w:id="631327855">
      <w:bodyDiv w:val="1"/>
      <w:marLeft w:val="0"/>
      <w:marRight w:val="0"/>
      <w:marTop w:val="0"/>
      <w:marBottom w:val="0"/>
      <w:divBdr>
        <w:top w:val="none" w:sz="0" w:space="0" w:color="auto"/>
        <w:left w:val="none" w:sz="0" w:space="0" w:color="auto"/>
        <w:bottom w:val="none" w:sz="0" w:space="0" w:color="auto"/>
        <w:right w:val="none" w:sz="0" w:space="0" w:color="auto"/>
      </w:divBdr>
      <w:divsChild>
        <w:div w:id="286738416">
          <w:marLeft w:val="1166"/>
          <w:marRight w:val="0"/>
          <w:marTop w:val="0"/>
          <w:marBottom w:val="0"/>
          <w:divBdr>
            <w:top w:val="none" w:sz="0" w:space="0" w:color="auto"/>
            <w:left w:val="none" w:sz="0" w:space="0" w:color="auto"/>
            <w:bottom w:val="none" w:sz="0" w:space="0" w:color="auto"/>
            <w:right w:val="none" w:sz="0" w:space="0" w:color="auto"/>
          </w:divBdr>
        </w:div>
        <w:div w:id="1794057430">
          <w:marLeft w:val="1166"/>
          <w:marRight w:val="0"/>
          <w:marTop w:val="0"/>
          <w:marBottom w:val="0"/>
          <w:divBdr>
            <w:top w:val="none" w:sz="0" w:space="0" w:color="auto"/>
            <w:left w:val="none" w:sz="0" w:space="0" w:color="auto"/>
            <w:bottom w:val="none" w:sz="0" w:space="0" w:color="auto"/>
            <w:right w:val="none" w:sz="0" w:space="0" w:color="auto"/>
          </w:divBdr>
        </w:div>
        <w:div w:id="699817364">
          <w:marLeft w:val="1166"/>
          <w:marRight w:val="0"/>
          <w:marTop w:val="0"/>
          <w:marBottom w:val="0"/>
          <w:divBdr>
            <w:top w:val="none" w:sz="0" w:space="0" w:color="auto"/>
            <w:left w:val="none" w:sz="0" w:space="0" w:color="auto"/>
            <w:bottom w:val="none" w:sz="0" w:space="0" w:color="auto"/>
            <w:right w:val="none" w:sz="0" w:space="0" w:color="auto"/>
          </w:divBdr>
        </w:div>
      </w:divsChild>
    </w:div>
    <w:div w:id="690188406">
      <w:bodyDiv w:val="1"/>
      <w:marLeft w:val="0"/>
      <w:marRight w:val="0"/>
      <w:marTop w:val="0"/>
      <w:marBottom w:val="0"/>
      <w:divBdr>
        <w:top w:val="none" w:sz="0" w:space="0" w:color="auto"/>
        <w:left w:val="none" w:sz="0" w:space="0" w:color="auto"/>
        <w:bottom w:val="none" w:sz="0" w:space="0" w:color="auto"/>
        <w:right w:val="none" w:sz="0" w:space="0" w:color="auto"/>
      </w:divBdr>
    </w:div>
    <w:div w:id="813722483">
      <w:bodyDiv w:val="1"/>
      <w:marLeft w:val="0"/>
      <w:marRight w:val="0"/>
      <w:marTop w:val="0"/>
      <w:marBottom w:val="0"/>
      <w:divBdr>
        <w:top w:val="none" w:sz="0" w:space="0" w:color="auto"/>
        <w:left w:val="none" w:sz="0" w:space="0" w:color="auto"/>
        <w:bottom w:val="none" w:sz="0" w:space="0" w:color="auto"/>
        <w:right w:val="none" w:sz="0" w:space="0" w:color="auto"/>
      </w:divBdr>
    </w:div>
    <w:div w:id="1094324924">
      <w:bodyDiv w:val="1"/>
      <w:marLeft w:val="0"/>
      <w:marRight w:val="0"/>
      <w:marTop w:val="0"/>
      <w:marBottom w:val="0"/>
      <w:divBdr>
        <w:top w:val="none" w:sz="0" w:space="0" w:color="auto"/>
        <w:left w:val="none" w:sz="0" w:space="0" w:color="auto"/>
        <w:bottom w:val="none" w:sz="0" w:space="0" w:color="auto"/>
        <w:right w:val="none" w:sz="0" w:space="0" w:color="auto"/>
      </w:divBdr>
    </w:div>
    <w:div w:id="1685327169">
      <w:bodyDiv w:val="1"/>
      <w:marLeft w:val="0"/>
      <w:marRight w:val="0"/>
      <w:marTop w:val="0"/>
      <w:marBottom w:val="0"/>
      <w:divBdr>
        <w:top w:val="none" w:sz="0" w:space="0" w:color="auto"/>
        <w:left w:val="none" w:sz="0" w:space="0" w:color="auto"/>
        <w:bottom w:val="none" w:sz="0" w:space="0" w:color="auto"/>
        <w:right w:val="none" w:sz="0" w:space="0" w:color="auto"/>
      </w:divBdr>
    </w:div>
    <w:div w:id="191230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anada.ca/en/public-health/services/publications/healthy-living/canadian-immunization-guide-statement-seasonal-influenza-vaccine-2017-2018.html" TargetMode="External"/><Relationship Id="rId18" Type="http://schemas.openxmlformats.org/officeDocument/2006/relationships/image" Target="media/image6.png"/><Relationship Id="rId26" Type="http://schemas.openxmlformats.org/officeDocument/2006/relationships/hyperlink" Target="http://www.aemps.gob.es/"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http://www.notificaram.es/" TargetMode="External"/><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s://www.canada.ca/en/public-health/services/publications/healthy-living/canadian-immunization-guide-statement-seasonal-influenza-vaccine-2017-2018.html" TargetMode="Externa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www.notificaRAM.es/"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aaai.org/conditions-and-treatments/library/allergy-library/SP-Egg-Allergy-and-the-Flu-Vaccine" TargetMode="External"/><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www.aaaai.org/conditions-and-treatments/library/allergy-library/SP-Egg-Allergy-and-the-Flu-Vaccine" TargetMode="External"/><Relationship Id="rId19" Type="http://schemas.openxmlformats.org/officeDocument/2006/relationships/image" Target="media/image7.emf"/><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dc.gov/mmwr/volumes/66/rr/rr6602a1.htm" TargetMode="External"/><Relationship Id="rId14" Type="http://schemas.openxmlformats.org/officeDocument/2006/relationships/hyperlink" Target="https://www.canada.ca/en/public-health/services/publications/healthy-living/canadian-immunization-guide-statement-seasonal-influenza-vaccine-2017-2018.html" TargetMode="External"/><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15668</Words>
  <Characters>86178</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Gobierno de Cantabria</Company>
  <LinksUpToDate>false</LinksUpToDate>
  <CharactersWithSpaces>101643</CharactersWithSpaces>
  <SharedDoc>false</SharedDoc>
  <HLinks>
    <vt:vector size="54" baseType="variant">
      <vt:variant>
        <vt:i4>1769561</vt:i4>
      </vt:variant>
      <vt:variant>
        <vt:i4>24</vt:i4>
      </vt:variant>
      <vt:variant>
        <vt:i4>0</vt:i4>
      </vt:variant>
      <vt:variant>
        <vt:i4>5</vt:i4>
      </vt:variant>
      <vt:variant>
        <vt:lpwstr>http://www.aemps.gob.es/</vt:lpwstr>
      </vt:variant>
      <vt:variant>
        <vt:lpwstr/>
      </vt:variant>
      <vt:variant>
        <vt:i4>6357090</vt:i4>
      </vt:variant>
      <vt:variant>
        <vt:i4>21</vt:i4>
      </vt:variant>
      <vt:variant>
        <vt:i4>0</vt:i4>
      </vt:variant>
      <vt:variant>
        <vt:i4>5</vt:i4>
      </vt:variant>
      <vt:variant>
        <vt:lpwstr>http://www.notificaram.es/</vt:lpwstr>
      </vt:variant>
      <vt:variant>
        <vt:lpwstr/>
      </vt:variant>
      <vt:variant>
        <vt:i4>6357090</vt:i4>
      </vt:variant>
      <vt:variant>
        <vt:i4>18</vt:i4>
      </vt:variant>
      <vt:variant>
        <vt:i4>0</vt:i4>
      </vt:variant>
      <vt:variant>
        <vt:i4>5</vt:i4>
      </vt:variant>
      <vt:variant>
        <vt:lpwstr>http://www.notificaram.es/</vt:lpwstr>
      </vt:variant>
      <vt:variant>
        <vt:lpwstr/>
      </vt:variant>
      <vt:variant>
        <vt:i4>6226014</vt:i4>
      </vt:variant>
      <vt:variant>
        <vt:i4>15</vt:i4>
      </vt:variant>
      <vt:variant>
        <vt:i4>0</vt:i4>
      </vt:variant>
      <vt:variant>
        <vt:i4>5</vt:i4>
      </vt:variant>
      <vt:variant>
        <vt:lpwstr>https://www.canada.ca/en/public-health/services/publications/healthy-living/canadian-immunization-guide-statement-seasonal-influenza-vaccine-2017-2018.html</vt:lpwstr>
      </vt:variant>
      <vt:variant>
        <vt:lpwstr>add</vt:lpwstr>
      </vt:variant>
      <vt:variant>
        <vt:i4>6226014</vt:i4>
      </vt:variant>
      <vt:variant>
        <vt:i4>12</vt:i4>
      </vt:variant>
      <vt:variant>
        <vt:i4>0</vt:i4>
      </vt:variant>
      <vt:variant>
        <vt:i4>5</vt:i4>
      </vt:variant>
      <vt:variant>
        <vt:lpwstr>https://www.canada.ca/en/public-health/services/publications/healthy-living/canadian-immunization-guide-statement-seasonal-influenza-vaccine-2017-2018.html</vt:lpwstr>
      </vt:variant>
      <vt:variant>
        <vt:lpwstr>add</vt:lpwstr>
      </vt:variant>
      <vt:variant>
        <vt:i4>6226014</vt:i4>
      </vt:variant>
      <vt:variant>
        <vt:i4>9</vt:i4>
      </vt:variant>
      <vt:variant>
        <vt:i4>0</vt:i4>
      </vt:variant>
      <vt:variant>
        <vt:i4>5</vt:i4>
      </vt:variant>
      <vt:variant>
        <vt:lpwstr>https://www.canada.ca/en/public-health/services/publications/healthy-living/canadian-immunization-guide-statement-seasonal-influenza-vaccine-2017-2018.html</vt:lpwstr>
      </vt:variant>
      <vt:variant>
        <vt:lpwstr>add</vt:lpwstr>
      </vt:variant>
      <vt:variant>
        <vt:i4>3080245</vt:i4>
      </vt:variant>
      <vt:variant>
        <vt:i4>6</vt:i4>
      </vt:variant>
      <vt:variant>
        <vt:i4>0</vt:i4>
      </vt:variant>
      <vt:variant>
        <vt:i4>5</vt:i4>
      </vt:variant>
      <vt:variant>
        <vt:lpwstr>https://www.aaaai.org/conditions-and-treatments/library/allergy-library/SP-Egg-Allergy-and-the-Flu-Vaccine</vt:lpwstr>
      </vt:variant>
      <vt:variant>
        <vt:lpwstr/>
      </vt:variant>
      <vt:variant>
        <vt:i4>3080245</vt:i4>
      </vt:variant>
      <vt:variant>
        <vt:i4>3</vt:i4>
      </vt:variant>
      <vt:variant>
        <vt:i4>0</vt:i4>
      </vt:variant>
      <vt:variant>
        <vt:i4>5</vt:i4>
      </vt:variant>
      <vt:variant>
        <vt:lpwstr>https://www.aaaai.org/conditions-and-treatments/library/allergy-library/SP-Egg-Allergy-and-the-Flu-Vaccine</vt:lpwstr>
      </vt:variant>
      <vt:variant>
        <vt:lpwstr/>
      </vt:variant>
      <vt:variant>
        <vt:i4>8192112</vt:i4>
      </vt:variant>
      <vt:variant>
        <vt:i4>0</vt:i4>
      </vt:variant>
      <vt:variant>
        <vt:i4>0</vt:i4>
      </vt:variant>
      <vt:variant>
        <vt:i4>5</vt:i4>
      </vt:variant>
      <vt:variant>
        <vt:lpwstr>https://www.cdc.gov/mmwr/volumes/66/rr/rr6602a1.htm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 Porras González</dc:creator>
  <cp:keywords/>
  <cp:lastModifiedBy>Galán Cuesta Manuel</cp:lastModifiedBy>
  <cp:revision>2</cp:revision>
  <cp:lastPrinted>2018-10-09T07:40:00Z</cp:lastPrinted>
  <dcterms:created xsi:type="dcterms:W3CDTF">2018-10-16T13:08:00Z</dcterms:created>
  <dcterms:modified xsi:type="dcterms:W3CDTF">2018-10-16T13:08:00Z</dcterms:modified>
</cp:coreProperties>
</file>